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F4EBC" w14:textId="77777777" w:rsidR="009A0FF6" w:rsidRDefault="009A0FF6" w:rsidP="002F6CE5">
      <w:pPr>
        <w:ind w:left="2292" w:hanging="2292"/>
      </w:pPr>
      <w:bookmarkStart w:id="0" w:name="_Toc209500354"/>
      <w:bookmarkStart w:id="1" w:name="_Toc219275270"/>
      <w:bookmarkStart w:id="2" w:name="_Toc219275340"/>
      <w:bookmarkStart w:id="3" w:name="_Toc219518985"/>
    </w:p>
    <w:p w14:paraId="3B086092" w14:textId="77777777" w:rsidR="008720EB" w:rsidRPr="00641820" w:rsidRDefault="008720EB" w:rsidP="002F6CE5">
      <w:pPr>
        <w:ind w:left="2292" w:hanging="2292"/>
        <w:rPr>
          <w:lang w:val="en-US"/>
        </w:rPr>
      </w:pPr>
      <w:r w:rsidRPr="00641820">
        <w:rPr>
          <w:lang w:val="en-US"/>
        </w:rPr>
        <w:t xml:space="preserve">SCORECARD </w:t>
      </w:r>
      <w:r w:rsidR="00335039" w:rsidRPr="00641820">
        <w:rPr>
          <w:lang w:val="en-US"/>
        </w:rPr>
        <w:tab/>
        <w:t>International Labour Organization (ILO)</w:t>
      </w:r>
    </w:p>
    <w:p w14:paraId="147D1F02" w14:textId="77777777" w:rsidR="008720EB" w:rsidRPr="00641820" w:rsidRDefault="008720EB" w:rsidP="002F6CE5">
      <w:pPr>
        <w:ind w:left="2292" w:hanging="2292"/>
        <w:rPr>
          <w:lang w:val="en-US"/>
        </w:rPr>
      </w:pPr>
    </w:p>
    <w:p w14:paraId="5D0FCAA4" w14:textId="5D15CF30" w:rsidR="009B57FB" w:rsidRDefault="000B1EF3" w:rsidP="002F6CE5">
      <w:pPr>
        <w:ind w:left="2292" w:hanging="2292"/>
      </w:pPr>
      <w:r>
        <w:fldChar w:fldCharType="begin"/>
      </w:r>
      <w:r>
        <w:instrText xml:space="preserve"> DOCPROPERTY  L_CONTACT  \* MERGEFORMAT </w:instrText>
      </w:r>
      <w:r>
        <w:fldChar w:fldCharType="separate"/>
      </w:r>
      <w:r w:rsidR="00A00A08">
        <w:t>Opgesteld door</w:t>
      </w:r>
      <w:r>
        <w:fldChar w:fldCharType="end"/>
      </w:r>
      <w:r w:rsidR="002F6CE5" w:rsidRPr="00785F18">
        <w:tab/>
      </w:r>
      <w:r w:rsidR="003A65E8">
        <w:t xml:space="preserve">Directie </w:t>
      </w:r>
      <w:r w:rsidR="00460E7F">
        <w:t>Multilaterale Instellingen en Mensenrechten</w:t>
      </w:r>
    </w:p>
    <w:p w14:paraId="0C911EEF" w14:textId="77777777" w:rsidR="00641820" w:rsidRDefault="00641820" w:rsidP="002F6CE5">
      <w:pPr>
        <w:ind w:left="2292" w:hanging="2292"/>
      </w:pPr>
      <w:r>
        <w:tab/>
        <w:t>Afdeling Sociale en Economische VN Zaken</w:t>
      </w:r>
    </w:p>
    <w:p w14:paraId="34D8D367" w14:textId="77777777" w:rsidR="000E5198" w:rsidRDefault="000E5198" w:rsidP="002F6CE5">
      <w:pPr>
        <w:ind w:left="2292" w:hanging="2292"/>
      </w:pPr>
    </w:p>
    <w:p w14:paraId="45D12A50" w14:textId="77777777" w:rsidR="000E5198" w:rsidRDefault="000E5198" w:rsidP="002F6CE5">
      <w:pPr>
        <w:ind w:left="2292" w:hanging="2292"/>
      </w:pPr>
      <w:r>
        <w:t>Redacteur:</w:t>
      </w:r>
      <w:r>
        <w:tab/>
        <w:t>Linda van der Horst</w:t>
      </w:r>
    </w:p>
    <w:p w14:paraId="6379F76F" w14:textId="33045628" w:rsidR="002F6CE5" w:rsidRPr="00785F18" w:rsidRDefault="000E5198" w:rsidP="002F6CE5">
      <w:pPr>
        <w:ind w:left="2292" w:hanging="2292"/>
      </w:pPr>
      <w:r>
        <w:tab/>
        <w:t>Afgestemd met SZW, PV Genève en DDE</w:t>
      </w:r>
      <w:r w:rsidR="002F6CE5" w:rsidRPr="00785F18">
        <w:br/>
      </w:r>
    </w:p>
    <w:tbl>
      <w:tblPr>
        <w:tblW w:w="0" w:type="auto"/>
        <w:tblLook w:val="01E0" w:firstRow="1" w:lastRow="1" w:firstColumn="1" w:lastColumn="1" w:noHBand="0" w:noVBand="0"/>
      </w:tblPr>
      <w:tblGrid>
        <w:gridCol w:w="2229"/>
        <w:gridCol w:w="5497"/>
      </w:tblGrid>
      <w:tr w:rsidR="002F6CE5" w:rsidRPr="00785F18" w14:paraId="449E9B4E" w14:textId="77777777" w:rsidTr="008F1B70">
        <w:tc>
          <w:tcPr>
            <w:tcW w:w="2268" w:type="dxa"/>
            <w:shd w:val="clear" w:color="auto" w:fill="auto"/>
          </w:tcPr>
          <w:p w14:paraId="682FC1BA" w14:textId="179C8727" w:rsidR="002F6CE5" w:rsidRPr="00785F18" w:rsidRDefault="002F6CE5" w:rsidP="00FA4337"/>
        </w:tc>
        <w:tc>
          <w:tcPr>
            <w:tcW w:w="5598" w:type="dxa"/>
            <w:shd w:val="clear" w:color="auto" w:fill="auto"/>
          </w:tcPr>
          <w:p w14:paraId="0EE64540" w14:textId="19922B87" w:rsidR="002F6CE5" w:rsidRPr="00785F18" w:rsidRDefault="002F6CE5" w:rsidP="00641820"/>
        </w:tc>
      </w:tr>
    </w:tbl>
    <w:p w14:paraId="7DDB1084" w14:textId="77777777" w:rsidR="00991C2E" w:rsidRDefault="00991C2E" w:rsidP="00991C2E"/>
    <w:p w14:paraId="077963B4" w14:textId="77777777" w:rsidR="00991C2E" w:rsidRDefault="00991C2E" w:rsidP="00991C2E"/>
    <w:p w14:paraId="6ADA44AC" w14:textId="77777777" w:rsidR="00991C2E" w:rsidRDefault="00991C2E" w:rsidP="00991C2E"/>
    <w:p w14:paraId="3A958024" w14:textId="77777777" w:rsidR="00326699" w:rsidRDefault="00326699" w:rsidP="00326699">
      <w:pPr>
        <w:spacing w:line="240" w:lineRule="auto"/>
      </w:pPr>
    </w:p>
    <w:p w14:paraId="5103941D" w14:textId="77777777" w:rsidR="00326699" w:rsidRDefault="00326699" w:rsidP="00326699">
      <w:pPr>
        <w:spacing w:line="240" w:lineRule="auto"/>
      </w:pPr>
    </w:p>
    <w:p w14:paraId="3419DFD9" w14:textId="77777777" w:rsidR="00326699" w:rsidRDefault="00326699" w:rsidP="00326699">
      <w:pPr>
        <w:spacing w:line="240" w:lineRule="auto"/>
        <w:sectPr w:rsidR="00326699" w:rsidSect="007D6565">
          <w:headerReference w:type="even" r:id="rId10"/>
          <w:headerReference w:type="default" r:id="rId11"/>
          <w:footerReference w:type="even" r:id="rId12"/>
          <w:footerReference w:type="default" r:id="rId13"/>
          <w:headerReference w:type="first" r:id="rId14"/>
          <w:footerReference w:type="first" r:id="rId15"/>
          <w:pgSz w:w="11906" w:h="16838" w:code="9"/>
          <w:pgMar w:top="2520" w:right="960" w:bottom="1080" w:left="3220" w:header="200" w:footer="660" w:gutter="0"/>
          <w:cols w:space="708"/>
          <w:titlePg/>
          <w:docGrid w:linePitch="360"/>
        </w:sectPr>
      </w:pPr>
    </w:p>
    <w:bookmarkEnd w:id="0"/>
    <w:bookmarkEnd w:id="1"/>
    <w:bookmarkEnd w:id="2"/>
    <w:bookmarkEnd w:id="3"/>
    <w:p w14:paraId="35EBC555" w14:textId="77777777" w:rsidR="00A908F9" w:rsidRDefault="00A908F9" w:rsidP="00A908F9">
      <w:pPr>
        <w:pStyle w:val="Kop-Inhoudsopgave"/>
      </w:pPr>
    </w:p>
    <w:p w14:paraId="2CC80067" w14:textId="77777777" w:rsidR="00A908F9" w:rsidRDefault="00A908F9" w:rsidP="00A908F9">
      <w:pPr>
        <w:pStyle w:val="Kop-Inhoudsopgave"/>
      </w:pPr>
    </w:p>
    <w:p w14:paraId="571B3D98" w14:textId="41FDF79E" w:rsidR="00A908F9" w:rsidRDefault="008720EB" w:rsidP="00A908F9">
      <w:pPr>
        <w:pStyle w:val="Kop-Inhoudsopgave"/>
      </w:pPr>
      <w:r>
        <w:br w:type="page"/>
      </w:r>
      <w:r w:rsidR="000B1EF3">
        <w:lastRenderedPageBreak/>
        <w:fldChar w:fldCharType="begin"/>
      </w:r>
      <w:r w:rsidR="000B1EF3">
        <w:instrText xml:space="preserve"> DOCPROPERTY  L_TOC  \* MERGEFORMAT </w:instrText>
      </w:r>
      <w:r w:rsidR="000B1EF3">
        <w:fldChar w:fldCharType="separate"/>
      </w:r>
      <w:bookmarkStart w:id="8" w:name="_Toc490833549"/>
      <w:bookmarkStart w:id="9" w:name="_Toc287454445"/>
      <w:bookmarkStart w:id="10" w:name="_Toc287446465"/>
      <w:r w:rsidR="00A00A08">
        <w:t>Inhoudsopgave</w:t>
      </w:r>
      <w:bookmarkEnd w:id="8"/>
      <w:bookmarkEnd w:id="9"/>
      <w:bookmarkEnd w:id="10"/>
      <w:r w:rsidR="000B1EF3">
        <w:fldChar w:fldCharType="end"/>
      </w:r>
    </w:p>
    <w:p w14:paraId="7390931F" w14:textId="20559DBE" w:rsidR="003B0771" w:rsidRDefault="009A6763">
      <w:pPr>
        <w:pStyle w:val="TOC1"/>
        <w:tabs>
          <w:tab w:val="right" w:leader="dot" w:pos="7716"/>
        </w:tabs>
        <w:rPr>
          <w:rFonts w:asciiTheme="minorHAnsi" w:eastAsiaTheme="minorEastAsia" w:hAnsiTheme="minorHAnsi" w:cstheme="minorBidi"/>
          <w:noProof/>
          <w:sz w:val="22"/>
          <w:szCs w:val="22"/>
        </w:rPr>
      </w:pPr>
      <w:r w:rsidRPr="00785F18">
        <w:fldChar w:fldCharType="begin"/>
      </w:r>
      <w:r w:rsidR="006B2292" w:rsidRPr="00785F18">
        <w:instrText xml:space="preserve"> TOC \t "Heading 1;2;Heading 2;3;Heading 3;4;Kop-Inhoudsopgave;1;Kop zonder nummering;1;Subtitle;2;Title;1" </w:instrText>
      </w:r>
      <w:r w:rsidRPr="00785F18">
        <w:fldChar w:fldCharType="separate"/>
      </w:r>
      <w:r w:rsidR="003B0771">
        <w:rPr>
          <w:noProof/>
        </w:rPr>
        <w:t>Inhoudsopgave</w:t>
      </w:r>
      <w:r w:rsidR="003B0771">
        <w:rPr>
          <w:noProof/>
        </w:rPr>
        <w:tab/>
      </w:r>
      <w:r w:rsidR="003B0771">
        <w:rPr>
          <w:noProof/>
        </w:rPr>
        <w:fldChar w:fldCharType="begin"/>
      </w:r>
      <w:r w:rsidR="003B0771">
        <w:rPr>
          <w:noProof/>
        </w:rPr>
        <w:instrText xml:space="preserve"> PAGEREF _Toc490833549 \h </w:instrText>
      </w:r>
      <w:r w:rsidR="003B0771">
        <w:rPr>
          <w:noProof/>
        </w:rPr>
      </w:r>
      <w:r w:rsidR="003B0771">
        <w:rPr>
          <w:noProof/>
        </w:rPr>
        <w:fldChar w:fldCharType="separate"/>
      </w:r>
      <w:r w:rsidR="008F25FA">
        <w:rPr>
          <w:noProof/>
        </w:rPr>
        <w:t>2</w:t>
      </w:r>
      <w:r w:rsidR="003B0771">
        <w:rPr>
          <w:noProof/>
        </w:rPr>
        <w:fldChar w:fldCharType="end"/>
      </w:r>
    </w:p>
    <w:p w14:paraId="0C6910C2" w14:textId="5430B978" w:rsidR="003B0771" w:rsidRDefault="003B0771">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_Toc490833550 \h </w:instrText>
      </w:r>
      <w:r>
        <w:fldChar w:fldCharType="separate"/>
      </w:r>
      <w:r w:rsidR="008F25FA">
        <w:t>2</w:t>
      </w:r>
      <w:r>
        <w:fldChar w:fldCharType="end"/>
      </w:r>
    </w:p>
    <w:p w14:paraId="35B4938E" w14:textId="22D3755A" w:rsidR="003B0771" w:rsidRDefault="003B0771">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_Toc490833551 \h </w:instrText>
      </w:r>
      <w:r>
        <w:fldChar w:fldCharType="separate"/>
      </w:r>
      <w:r w:rsidR="008F25FA">
        <w:t>2</w:t>
      </w:r>
      <w:r>
        <w:fldChar w:fldCharType="end"/>
      </w:r>
    </w:p>
    <w:p w14:paraId="6B8D8773" w14:textId="19B998A8" w:rsidR="003B0771" w:rsidRDefault="003B0771">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_Toc490833552 \h </w:instrText>
      </w:r>
      <w:r>
        <w:fldChar w:fldCharType="separate"/>
      </w:r>
      <w:r w:rsidR="008F25FA">
        <w:t>2</w:t>
      </w:r>
      <w:r>
        <w:fldChar w:fldCharType="end"/>
      </w:r>
    </w:p>
    <w:p w14:paraId="2F9230F4" w14:textId="3774C081" w:rsidR="003B0771" w:rsidRDefault="003B0771">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_Toc490833553 \h </w:instrText>
      </w:r>
      <w:r>
        <w:fldChar w:fldCharType="separate"/>
      </w:r>
      <w:r w:rsidR="008F25FA">
        <w:t>2</w:t>
      </w:r>
      <w:r>
        <w:fldChar w:fldCharType="end"/>
      </w:r>
    </w:p>
    <w:p w14:paraId="166CC2F4" w14:textId="3545FB6C" w:rsidR="003B0771" w:rsidRDefault="003B0771">
      <w:pPr>
        <w:pStyle w:val="TOC2"/>
        <w:rPr>
          <w:rFonts w:asciiTheme="minorHAnsi" w:eastAsiaTheme="minorEastAsia" w:hAnsiTheme="minorHAnsi" w:cstheme="minorBidi"/>
          <w:b w:val="0"/>
          <w:sz w:val="22"/>
          <w:szCs w:val="22"/>
        </w:rPr>
      </w:pPr>
      <w:r>
        <w:t xml:space="preserve">3 </w:t>
      </w:r>
      <w:r>
        <w:rPr>
          <w:rFonts w:asciiTheme="minorHAnsi" w:eastAsiaTheme="minorEastAsia" w:hAnsiTheme="minorHAnsi" w:cstheme="minorBidi"/>
          <w:b w:val="0"/>
          <w:sz w:val="22"/>
          <w:szCs w:val="22"/>
        </w:rPr>
        <w:tab/>
      </w:r>
      <w:r>
        <w:t>Algemene achtergrond</w:t>
      </w:r>
      <w:r>
        <w:tab/>
      </w:r>
      <w:r>
        <w:fldChar w:fldCharType="begin"/>
      </w:r>
      <w:r>
        <w:instrText xml:space="preserve"> PAGEREF _Toc490833554 \h </w:instrText>
      </w:r>
      <w:r>
        <w:fldChar w:fldCharType="separate"/>
      </w:r>
      <w:r w:rsidR="008F25FA">
        <w:t>2</w:t>
      </w:r>
      <w:r>
        <w:fldChar w:fldCharType="end"/>
      </w:r>
    </w:p>
    <w:p w14:paraId="657FDAF6" w14:textId="03AC6B30" w:rsidR="003B0771" w:rsidRDefault="003B0771">
      <w:pPr>
        <w:pStyle w:val="TOC3"/>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_Toc490833555 \h </w:instrText>
      </w:r>
      <w:r>
        <w:fldChar w:fldCharType="separate"/>
      </w:r>
      <w:r w:rsidR="008F25FA">
        <w:t>2</w:t>
      </w:r>
      <w:r>
        <w:fldChar w:fldCharType="end"/>
      </w:r>
    </w:p>
    <w:p w14:paraId="750004C7" w14:textId="6602CC4D" w:rsidR="003B0771" w:rsidRDefault="003B0771">
      <w:pPr>
        <w:pStyle w:val="TOC3"/>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Organisatie, werkwijze en activiteiten</w:t>
      </w:r>
      <w:r>
        <w:tab/>
      </w:r>
      <w:r>
        <w:fldChar w:fldCharType="begin"/>
      </w:r>
      <w:r>
        <w:instrText xml:space="preserve"> PAGEREF _Toc490833556 \h </w:instrText>
      </w:r>
      <w:r>
        <w:fldChar w:fldCharType="separate"/>
      </w:r>
      <w:r w:rsidR="008F25FA">
        <w:t>2</w:t>
      </w:r>
      <w:r>
        <w:fldChar w:fldCharType="end"/>
      </w:r>
    </w:p>
    <w:p w14:paraId="1CC43856" w14:textId="7128C1F8" w:rsidR="003B0771" w:rsidRDefault="003B0771">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_Toc490833557 \h </w:instrText>
      </w:r>
      <w:r>
        <w:fldChar w:fldCharType="separate"/>
      </w:r>
      <w:r w:rsidR="008F25FA">
        <w:t>2</w:t>
      </w:r>
      <w:r>
        <w:fldChar w:fldCharType="end"/>
      </w:r>
    </w:p>
    <w:p w14:paraId="2EB20067" w14:textId="5C2F8A2F" w:rsidR="003B0771" w:rsidRDefault="003B0771">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_Toc490833558 \h </w:instrText>
      </w:r>
      <w:r>
        <w:fldChar w:fldCharType="separate"/>
      </w:r>
      <w:r w:rsidR="008F25FA">
        <w:t>2</w:t>
      </w:r>
      <w:r>
        <w:fldChar w:fldCharType="end"/>
      </w:r>
    </w:p>
    <w:p w14:paraId="7DC63BFE" w14:textId="57629A90" w:rsidR="003B0771" w:rsidRDefault="003B0771">
      <w:pPr>
        <w:pStyle w:val="TOC2"/>
        <w:rPr>
          <w:rFonts w:asciiTheme="minorHAnsi" w:eastAsiaTheme="minorEastAsia" w:hAnsiTheme="minorHAnsi" w:cstheme="minorBidi"/>
          <w:b w:val="0"/>
          <w:sz w:val="22"/>
          <w:szCs w:val="22"/>
        </w:rPr>
      </w:pPr>
      <w:r>
        <w:t xml:space="preserve">4 </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_Toc490833559 \h </w:instrText>
      </w:r>
      <w:r>
        <w:fldChar w:fldCharType="separate"/>
      </w:r>
      <w:r w:rsidR="008F25FA">
        <w:t>2</w:t>
      </w:r>
      <w:r>
        <w:fldChar w:fldCharType="end"/>
      </w:r>
    </w:p>
    <w:p w14:paraId="38F8718A" w14:textId="6494C0D7" w:rsidR="003B0771" w:rsidRDefault="003B0771">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_Toc490833560 \h </w:instrText>
      </w:r>
      <w:r>
        <w:fldChar w:fldCharType="separate"/>
      </w:r>
      <w:r w:rsidR="008F25FA">
        <w:t>2</w:t>
      </w:r>
      <w:r>
        <w:fldChar w:fldCharType="end"/>
      </w:r>
    </w:p>
    <w:p w14:paraId="2E289520" w14:textId="3B04C483" w:rsidR="003B0771" w:rsidRDefault="003B0771">
      <w:pPr>
        <w:pStyle w:val="TOC3"/>
        <w:rPr>
          <w:rFonts w:asciiTheme="minorHAnsi" w:eastAsiaTheme="minorEastAsia" w:hAnsiTheme="minorHAnsi" w:cstheme="minorBidi"/>
          <w:sz w:val="22"/>
          <w:szCs w:val="22"/>
        </w:rPr>
      </w:pPr>
      <w:r w:rsidRPr="007F0923">
        <w:t>4.2</w:t>
      </w:r>
      <w:r>
        <w:rPr>
          <w:rFonts w:asciiTheme="minorHAnsi" w:eastAsiaTheme="minorEastAsia" w:hAnsiTheme="minorHAnsi" w:cstheme="minorBidi"/>
          <w:sz w:val="22"/>
          <w:szCs w:val="22"/>
        </w:rPr>
        <w:tab/>
      </w:r>
      <w:r w:rsidRPr="007F0923">
        <w:t>Resultaatgerichtheid en transparantie</w:t>
      </w:r>
      <w:r>
        <w:tab/>
      </w:r>
      <w:r>
        <w:fldChar w:fldCharType="begin"/>
      </w:r>
      <w:r>
        <w:instrText xml:space="preserve"> PAGEREF _Toc490833561 \h </w:instrText>
      </w:r>
      <w:r>
        <w:fldChar w:fldCharType="separate"/>
      </w:r>
      <w:r w:rsidR="008F25FA">
        <w:t>2</w:t>
      </w:r>
      <w:r>
        <w:fldChar w:fldCharType="end"/>
      </w:r>
    </w:p>
    <w:p w14:paraId="65EDA5DE" w14:textId="5C50C6A7" w:rsidR="003B0771" w:rsidRDefault="003B0771">
      <w:pPr>
        <w:pStyle w:val="TOC3"/>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_Toc490833562 \h </w:instrText>
      </w:r>
      <w:r>
        <w:fldChar w:fldCharType="separate"/>
      </w:r>
      <w:r w:rsidR="008F25FA">
        <w:t>2</w:t>
      </w:r>
      <w:r>
        <w:fldChar w:fldCharType="end"/>
      </w:r>
    </w:p>
    <w:p w14:paraId="69012D28" w14:textId="72037D22" w:rsidR="003B0771" w:rsidRDefault="003B0771">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_Toc490833563 \h </w:instrText>
      </w:r>
      <w:r>
        <w:fldChar w:fldCharType="separate"/>
      </w:r>
      <w:r w:rsidR="008F25FA">
        <w:t>2</w:t>
      </w:r>
      <w:r>
        <w:fldChar w:fldCharType="end"/>
      </w:r>
    </w:p>
    <w:p w14:paraId="6D2E4CDE" w14:textId="791D4F6B" w:rsidR="003B0771" w:rsidRDefault="003B0771">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_Toc490833564 \h </w:instrText>
      </w:r>
      <w:r>
        <w:fldChar w:fldCharType="separate"/>
      </w:r>
      <w:r w:rsidR="008F25FA">
        <w:t>2</w:t>
      </w:r>
      <w:r>
        <w:fldChar w:fldCharType="end"/>
      </w:r>
    </w:p>
    <w:p w14:paraId="2447CBB9" w14:textId="705655ED" w:rsidR="003B0771" w:rsidRDefault="003B0771">
      <w:pPr>
        <w:pStyle w:val="TOC3"/>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Human Resource Management</w:t>
      </w:r>
      <w:r>
        <w:tab/>
      </w:r>
      <w:r>
        <w:fldChar w:fldCharType="begin"/>
      </w:r>
      <w:r>
        <w:instrText xml:space="preserve"> PAGEREF _Toc490833565 \h </w:instrText>
      </w:r>
      <w:r>
        <w:fldChar w:fldCharType="separate"/>
      </w:r>
      <w:r w:rsidR="008F25FA">
        <w:t>2</w:t>
      </w:r>
      <w:r>
        <w:fldChar w:fldCharType="end"/>
      </w:r>
    </w:p>
    <w:p w14:paraId="715F4169" w14:textId="07B530EF" w:rsidR="003B0771" w:rsidRDefault="003B0771">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_Toc490833566 \h </w:instrText>
      </w:r>
      <w:r>
        <w:fldChar w:fldCharType="separate"/>
      </w:r>
      <w:r w:rsidR="008F25FA">
        <w:t>2</w:t>
      </w:r>
      <w:r>
        <w:fldChar w:fldCharType="end"/>
      </w:r>
    </w:p>
    <w:p w14:paraId="6E5D44BD" w14:textId="52700F38" w:rsidR="003B0771" w:rsidRDefault="003B0771">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_Toc490833567 \h </w:instrText>
      </w:r>
      <w:r>
        <w:fldChar w:fldCharType="separate"/>
      </w:r>
      <w:r w:rsidR="008F25FA">
        <w:t>2</w:t>
      </w:r>
      <w:r>
        <w:fldChar w:fldCharType="end"/>
      </w:r>
    </w:p>
    <w:p w14:paraId="0B230092" w14:textId="410AF2DB" w:rsidR="003B0771" w:rsidRDefault="003B0771">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_Toc490833568 \h </w:instrText>
      </w:r>
      <w:r>
        <w:fldChar w:fldCharType="separate"/>
      </w:r>
      <w:r w:rsidR="008F25FA">
        <w:t>2</w:t>
      </w:r>
      <w:r>
        <w:fldChar w:fldCharType="end"/>
      </w:r>
    </w:p>
    <w:p w14:paraId="58D9A8E5" w14:textId="7631DD68" w:rsidR="003B0771" w:rsidRDefault="003B0771">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_Toc490833569 \h </w:instrText>
      </w:r>
      <w:r>
        <w:fldChar w:fldCharType="separate"/>
      </w:r>
      <w:r w:rsidR="008F25FA">
        <w:t>2</w:t>
      </w:r>
      <w:r>
        <w:fldChar w:fldCharType="end"/>
      </w:r>
    </w:p>
    <w:p w14:paraId="31313A73" w14:textId="2F78C3F5" w:rsidR="003B0771" w:rsidRDefault="003B0771">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_Toc490833570 \h </w:instrText>
      </w:r>
      <w:r>
        <w:fldChar w:fldCharType="separate"/>
      </w:r>
      <w:r w:rsidR="008F25FA">
        <w:t>2</w:t>
      </w:r>
      <w:r>
        <w:fldChar w:fldCharType="end"/>
      </w:r>
    </w:p>
    <w:p w14:paraId="489C1EC6" w14:textId="4159A686" w:rsidR="003B0771" w:rsidRDefault="003B0771">
      <w:pPr>
        <w:pStyle w:val="TOC3"/>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Overige relevantie</w:t>
      </w:r>
      <w:r>
        <w:tab/>
      </w:r>
      <w:r>
        <w:fldChar w:fldCharType="begin"/>
      </w:r>
      <w:r>
        <w:instrText xml:space="preserve"> PAGEREF _Toc490833571 \h </w:instrText>
      </w:r>
      <w:r>
        <w:fldChar w:fldCharType="separate"/>
      </w:r>
      <w:r w:rsidR="008F25FA">
        <w:t>2</w:t>
      </w:r>
      <w:r>
        <w:fldChar w:fldCharType="end"/>
      </w:r>
    </w:p>
    <w:p w14:paraId="0C5E90B3" w14:textId="072A0F10" w:rsidR="00261F77" w:rsidRPr="00290657" w:rsidRDefault="009A6763" w:rsidP="0014161D">
      <w:pPr>
        <w:pStyle w:val="TOC3"/>
        <w:rPr>
          <w:rFonts w:ascii="Calibri" w:hAnsi="Calibri"/>
          <w:sz w:val="22"/>
          <w:szCs w:val="22"/>
        </w:rPr>
      </w:pPr>
      <w:r w:rsidRPr="00785F18">
        <w:fldChar w:fldCharType="end"/>
      </w:r>
    </w:p>
    <w:p w14:paraId="0733E37C" w14:textId="77777777" w:rsidR="00101F98" w:rsidRPr="00785F18" w:rsidRDefault="00101F98" w:rsidP="00163FA2">
      <w:pPr>
        <w:tabs>
          <w:tab w:val="left" w:pos="0"/>
        </w:tabs>
      </w:pPr>
    </w:p>
    <w:p w14:paraId="5181F55B" w14:textId="77777777" w:rsidR="00A908F9" w:rsidRDefault="00A908F9" w:rsidP="00101F98"/>
    <w:p w14:paraId="73A8C58F" w14:textId="77777777" w:rsidR="00A908F9" w:rsidRPr="00A908F9" w:rsidRDefault="00A908F9" w:rsidP="00A908F9"/>
    <w:p w14:paraId="67A56319" w14:textId="77777777" w:rsidR="00A908F9" w:rsidRPr="00A908F9" w:rsidRDefault="00A908F9" w:rsidP="00A908F9"/>
    <w:p w14:paraId="6671F7BC" w14:textId="43FB04DC" w:rsidR="006E555B" w:rsidRDefault="006E555B" w:rsidP="006E555B">
      <w:pPr>
        <w:pStyle w:val="Heading1"/>
        <w:tabs>
          <w:tab w:val="num" w:pos="0"/>
        </w:tabs>
        <w:spacing w:after="240" w:line="240" w:lineRule="auto"/>
        <w:ind w:hanging="1162"/>
      </w:pPr>
      <w:bookmarkStart w:id="11" w:name="_Toc410397639"/>
      <w:bookmarkStart w:id="12" w:name="_Toc490833550"/>
      <w:r>
        <w:lastRenderedPageBreak/>
        <w:t>1.</w:t>
      </w:r>
      <w:r>
        <w:tab/>
      </w:r>
      <w:bookmarkEnd w:id="11"/>
      <w:r>
        <w:t>Samenvatting</w:t>
      </w:r>
      <w:bookmarkEnd w:id="12"/>
    </w:p>
    <w:p w14:paraId="3D39C901" w14:textId="34ECAA66" w:rsidR="006E555B" w:rsidRDefault="006E555B" w:rsidP="006E555B">
      <w:pPr>
        <w:pStyle w:val="Heading2"/>
        <w:tabs>
          <w:tab w:val="left" w:pos="-1162"/>
          <w:tab w:val="left" w:pos="0"/>
          <w:tab w:val="num" w:pos="1160"/>
        </w:tabs>
        <w:spacing w:line="240" w:lineRule="auto"/>
        <w:ind w:hanging="1162"/>
      </w:pPr>
      <w:bookmarkStart w:id="13" w:name="_Toc410397640"/>
      <w:bookmarkStart w:id="14" w:name="_Toc490833551"/>
      <w:r>
        <w:t xml:space="preserve">1.1 </w:t>
      </w:r>
      <w:r>
        <w:tab/>
        <w:t>Institutionele aspecten en functioneren</w:t>
      </w:r>
      <w:bookmarkEnd w:id="13"/>
      <w:bookmarkEnd w:id="14"/>
    </w:p>
    <w:p w14:paraId="63601EA2" w14:textId="5A556C1F" w:rsidR="006E3E0E" w:rsidRPr="00A05531" w:rsidRDefault="007F1DBA" w:rsidP="00A05531">
      <w:r w:rsidRPr="00A05531">
        <w:t xml:space="preserve">De ILO heeft een helder mandaat bestaande uit de vier pijlers van de </w:t>
      </w:r>
      <w:r w:rsidRPr="00A05531">
        <w:rPr>
          <w:i/>
        </w:rPr>
        <w:t>Decent Work Agenda:</w:t>
      </w:r>
      <w:r w:rsidRPr="00A05531">
        <w:t xml:space="preserve"> werkgelegenheid, sociale bescherming, sociale dialoog en arbeidsnormen. De </w:t>
      </w:r>
      <w:r w:rsidRPr="00A05531">
        <w:rPr>
          <w:i/>
        </w:rPr>
        <w:t xml:space="preserve">Decent Work Country Programmes </w:t>
      </w:r>
      <w:r w:rsidRPr="00A05531">
        <w:t xml:space="preserve">sluiten sinds het opstellen van richtlijnen meer aan bij nationaal beleid wat de programma’s ten goede doet. </w:t>
      </w:r>
      <w:r w:rsidR="00A05531" w:rsidRPr="00A05531">
        <w:t>“Door de tripartiete structuur van de ILO, waarbij overheden, werkgevers en werknemers primaat hebben, is er weinig ruimte over voor andere partijen (zoals ZZP’ers en NGO</w:t>
      </w:r>
      <w:r w:rsidR="00ED6C2B">
        <w:t>’</w:t>
      </w:r>
      <w:r w:rsidR="00A05531" w:rsidRPr="00A05531">
        <w:t xml:space="preserve">s) om invloed uit te oefenen op de </w:t>
      </w:r>
      <w:r w:rsidR="00ED6C2B" w:rsidRPr="00A05531">
        <w:t>agendasetting</w:t>
      </w:r>
      <w:r w:rsidR="00A05531" w:rsidRPr="00A05531">
        <w:t xml:space="preserve"> en besluitvorming</w:t>
      </w:r>
      <w:r w:rsidRPr="00A05531">
        <w:t xml:space="preserve">. </w:t>
      </w:r>
      <w:r w:rsidR="00A05531" w:rsidRPr="00A05531">
        <w:t xml:space="preserve">Er is veel vooruitgang geboekt om resultaatgerichtheid en </w:t>
      </w:r>
      <w:r w:rsidR="00ED6C2B" w:rsidRPr="00A05531">
        <w:t>transparantie</w:t>
      </w:r>
      <w:r w:rsidR="00A05531" w:rsidRPr="00A05531">
        <w:t xml:space="preserve"> te verbeteren. Er is echter nog een vertaalslag nodig om deze hervormingen, die op senior </w:t>
      </w:r>
      <w:r w:rsidR="00ED6C2B" w:rsidRPr="00A05531">
        <w:t>niveaus</w:t>
      </w:r>
      <w:r w:rsidR="00A05531" w:rsidRPr="00A05531">
        <w:t xml:space="preserve"> is omarmd, ook in te bedden in de gehele organisatie.</w:t>
      </w:r>
      <w:r w:rsidR="00A05531">
        <w:t xml:space="preserve"> </w:t>
      </w:r>
      <w:r w:rsidR="001F5F92" w:rsidRPr="00A05531">
        <w:t xml:space="preserve">Evaluaties van de ILO zijn goed beschikbaar en de kwaliteit is hoog. Verbetering zou kunnen plaatsvinden door een meer flexibele, geïntegreerde en gebruiksgerichte aanpak te ontwikkelen. </w:t>
      </w:r>
    </w:p>
    <w:p w14:paraId="416BC1D1" w14:textId="7FC4ADE1" w:rsidR="00E03716" w:rsidRPr="000728EA" w:rsidRDefault="001F5F92" w:rsidP="00224D2D">
      <w:pPr>
        <w:rPr>
          <w:highlight w:val="yellow"/>
        </w:rPr>
      </w:pPr>
      <w:r w:rsidRPr="00A05531">
        <w:t xml:space="preserve">Om meer expertise op regio- en landeniveau te creëren is het aantal administratieve functies op het hoofdkantoor teruggebracht en het aantal regionale functies uitgebreid, met name met specialisten. </w:t>
      </w:r>
      <w:r w:rsidR="002C1673" w:rsidRPr="00A05531">
        <w:t xml:space="preserve">Hierdoor kan de ILO ook sneller opereren in, en inspringen op, ontwikkelingen in de regio’s (bijv. een vluchtelingencrisis). </w:t>
      </w:r>
      <w:r w:rsidRPr="00A05531">
        <w:t>Werving van personeel, versobering van reisbeleid en ontwi</w:t>
      </w:r>
      <w:r w:rsidR="00807E82" w:rsidRPr="00A05531">
        <w:t>kkeling van het personeel zijn steeds belangrijker voor het personeelsbeleid van DG Ryder. Verplichte bijdragen aan de ILO worden tijdig voldaan en achterstanden zijn van beperkte omvang. Kostenefficiëntie kan nog grote stappen maken, bedrijfsprocessen zijn nog te bureaucratisch en langzaam en de ILO maakt nog niet volledig gebruik van de middelen die zij ter beschikking heeft. Tot slot blijken verdenkingen en klachten over corruptie en fraude goed behandeld te worden en zijn de processen van goede structuur.</w:t>
      </w:r>
    </w:p>
    <w:p w14:paraId="0F0E26C3" w14:textId="77777777" w:rsidR="006E555B" w:rsidRDefault="006E555B" w:rsidP="006E555B"/>
    <w:tbl>
      <w:tblPr>
        <w:tblW w:w="79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708"/>
        <w:gridCol w:w="841"/>
        <w:gridCol w:w="1374"/>
      </w:tblGrid>
      <w:tr w:rsidR="00A00A08" w14:paraId="7B0FC8FD" w14:textId="77777777" w:rsidTr="006A10B3">
        <w:tc>
          <w:tcPr>
            <w:tcW w:w="5708" w:type="dxa"/>
            <w:tcBorders>
              <w:top w:val="single" w:sz="12" w:space="0" w:color="auto"/>
              <w:left w:val="single" w:sz="12" w:space="0" w:color="auto"/>
              <w:bottom w:val="single" w:sz="12" w:space="0" w:color="auto"/>
            </w:tcBorders>
            <w:shd w:val="clear" w:color="auto" w:fill="BFBFBF" w:themeFill="background1" w:themeFillShade="BF"/>
          </w:tcPr>
          <w:p w14:paraId="50ADC549" w14:textId="0F6CD85D" w:rsidR="00A00A08" w:rsidRDefault="00A00A08" w:rsidP="00A00A08">
            <w:r w:rsidRPr="008F1B70">
              <w:rPr>
                <w:b/>
              </w:rPr>
              <w:t xml:space="preserve">Institutionele aspecten </w:t>
            </w:r>
            <w:r>
              <w:rPr>
                <w:b/>
              </w:rPr>
              <w:t xml:space="preserve">en functioneren </w:t>
            </w:r>
          </w:p>
        </w:tc>
        <w:tc>
          <w:tcPr>
            <w:tcW w:w="841" w:type="dxa"/>
            <w:tcBorders>
              <w:top w:val="single" w:sz="12" w:space="0" w:color="auto"/>
              <w:bottom w:val="single" w:sz="12" w:space="0" w:color="auto"/>
            </w:tcBorders>
            <w:shd w:val="clear" w:color="auto" w:fill="BFBFBF" w:themeFill="background1" w:themeFillShade="BF"/>
          </w:tcPr>
          <w:p w14:paraId="35766DF1" w14:textId="77777777" w:rsidR="00A00A08" w:rsidRPr="00891BDD" w:rsidRDefault="00A00A08" w:rsidP="00A00A08">
            <w:r w:rsidRPr="00891BDD">
              <w:t>Score</w:t>
            </w:r>
          </w:p>
        </w:tc>
        <w:tc>
          <w:tcPr>
            <w:tcW w:w="1374" w:type="dxa"/>
            <w:tcBorders>
              <w:top w:val="single" w:sz="12" w:space="0" w:color="auto"/>
              <w:bottom w:val="single" w:sz="12" w:space="0" w:color="auto"/>
              <w:right w:val="single" w:sz="12" w:space="0" w:color="auto"/>
            </w:tcBorders>
            <w:shd w:val="clear" w:color="auto" w:fill="BFBFBF" w:themeFill="background1" w:themeFillShade="BF"/>
          </w:tcPr>
          <w:p w14:paraId="1B648A06" w14:textId="77777777" w:rsidR="00A00A08" w:rsidRPr="00891BDD" w:rsidRDefault="00A00A08" w:rsidP="00A00A08">
            <w:r w:rsidRPr="00891BDD">
              <w:t>Verandering</w:t>
            </w:r>
          </w:p>
        </w:tc>
      </w:tr>
      <w:tr w:rsidR="00A00A08" w14:paraId="3A09A680" w14:textId="77777777" w:rsidTr="006A10B3">
        <w:tc>
          <w:tcPr>
            <w:tcW w:w="5708" w:type="dxa"/>
            <w:tcBorders>
              <w:top w:val="single" w:sz="12" w:space="0" w:color="auto"/>
              <w:left w:val="single" w:sz="12" w:space="0" w:color="auto"/>
            </w:tcBorders>
            <w:shd w:val="clear" w:color="auto" w:fill="auto"/>
          </w:tcPr>
          <w:p w14:paraId="1182DA8A" w14:textId="77777777" w:rsidR="00A00A08" w:rsidRPr="00C26035" w:rsidRDefault="00A00A08" w:rsidP="00A00A08">
            <w:r>
              <w:t>Strategie en verantwoording</w:t>
            </w:r>
            <w:r w:rsidRPr="00C26035">
              <w:t xml:space="preserve"> </w:t>
            </w:r>
          </w:p>
        </w:tc>
        <w:tc>
          <w:tcPr>
            <w:tcW w:w="841" w:type="dxa"/>
            <w:tcBorders>
              <w:top w:val="single" w:sz="12" w:space="0" w:color="auto"/>
            </w:tcBorders>
            <w:shd w:val="clear" w:color="auto" w:fill="auto"/>
            <w:vAlign w:val="center"/>
          </w:tcPr>
          <w:p w14:paraId="640694E1" w14:textId="0CA7C174" w:rsidR="00A00A08" w:rsidRDefault="00A00A08" w:rsidP="00A00A08">
            <w:pPr>
              <w:jc w:val="center"/>
            </w:pPr>
            <w:r>
              <w:t>4</w:t>
            </w:r>
          </w:p>
        </w:tc>
        <w:tc>
          <w:tcPr>
            <w:tcW w:w="1374" w:type="dxa"/>
            <w:tcBorders>
              <w:top w:val="single" w:sz="12" w:space="0" w:color="auto"/>
              <w:right w:val="single" w:sz="12" w:space="0" w:color="auto"/>
            </w:tcBorders>
            <w:shd w:val="clear" w:color="auto" w:fill="auto"/>
            <w:vAlign w:val="center"/>
          </w:tcPr>
          <w:p w14:paraId="6B8A7725" w14:textId="31742EC4" w:rsidR="00A00A08" w:rsidRDefault="00A00A08" w:rsidP="00A00A08">
            <w:pPr>
              <w:jc w:val="center"/>
            </w:pPr>
            <w:r w:rsidRPr="00193994">
              <w:sym w:font="Wingdings" w:char="F0E8"/>
            </w:r>
          </w:p>
        </w:tc>
      </w:tr>
      <w:tr w:rsidR="00A00A08" w14:paraId="695397A2" w14:textId="77777777" w:rsidTr="006A10B3">
        <w:tc>
          <w:tcPr>
            <w:tcW w:w="5708" w:type="dxa"/>
            <w:tcBorders>
              <w:left w:val="single" w:sz="12" w:space="0" w:color="auto"/>
            </w:tcBorders>
            <w:shd w:val="clear" w:color="auto" w:fill="auto"/>
          </w:tcPr>
          <w:p w14:paraId="414AA212" w14:textId="77777777" w:rsidR="00A00A08" w:rsidRDefault="00A00A08" w:rsidP="00A00A08">
            <w:r>
              <w:t>Resultaatgerichtheid en transparantie</w:t>
            </w:r>
          </w:p>
        </w:tc>
        <w:tc>
          <w:tcPr>
            <w:tcW w:w="841" w:type="dxa"/>
            <w:shd w:val="clear" w:color="auto" w:fill="auto"/>
            <w:vAlign w:val="center"/>
          </w:tcPr>
          <w:p w14:paraId="6738719E" w14:textId="57CEC2CF" w:rsidR="00A00A08" w:rsidRDefault="00A00A08" w:rsidP="00A00A08">
            <w:pPr>
              <w:jc w:val="center"/>
            </w:pPr>
            <w:r>
              <w:t>3</w:t>
            </w:r>
          </w:p>
        </w:tc>
        <w:tc>
          <w:tcPr>
            <w:tcW w:w="1374" w:type="dxa"/>
            <w:tcBorders>
              <w:right w:val="single" w:sz="12" w:space="0" w:color="auto"/>
            </w:tcBorders>
            <w:shd w:val="clear" w:color="auto" w:fill="auto"/>
            <w:vAlign w:val="center"/>
          </w:tcPr>
          <w:p w14:paraId="7B6B9582" w14:textId="4371CA2F" w:rsidR="00A00A08" w:rsidRDefault="00A00A08" w:rsidP="00A00A08">
            <w:pPr>
              <w:jc w:val="center"/>
            </w:pPr>
            <w:r w:rsidRPr="00193994">
              <w:sym w:font="Wingdings" w:char="F0E8"/>
            </w:r>
          </w:p>
        </w:tc>
      </w:tr>
      <w:tr w:rsidR="00A00A08" w14:paraId="7478AC32" w14:textId="77777777" w:rsidTr="006A10B3">
        <w:tc>
          <w:tcPr>
            <w:tcW w:w="5708" w:type="dxa"/>
            <w:tcBorders>
              <w:left w:val="single" w:sz="12" w:space="0" w:color="auto"/>
            </w:tcBorders>
            <w:shd w:val="clear" w:color="auto" w:fill="auto"/>
          </w:tcPr>
          <w:p w14:paraId="0D71FC1D" w14:textId="693E2FFA" w:rsidR="00A00A08" w:rsidRDefault="00A00A08" w:rsidP="00A00A08">
            <w:r>
              <w:t>Partnerschappen</w:t>
            </w:r>
            <w:r w:rsidR="007F1DBA">
              <w:t xml:space="preserve"> en samenwerking</w:t>
            </w:r>
          </w:p>
        </w:tc>
        <w:tc>
          <w:tcPr>
            <w:tcW w:w="841" w:type="dxa"/>
            <w:shd w:val="clear" w:color="auto" w:fill="auto"/>
            <w:vAlign w:val="center"/>
          </w:tcPr>
          <w:p w14:paraId="68E196A9" w14:textId="510142B9" w:rsidR="00A00A08" w:rsidRDefault="00A00A08" w:rsidP="00A00A08">
            <w:pPr>
              <w:jc w:val="center"/>
            </w:pPr>
            <w:r>
              <w:t>3</w:t>
            </w:r>
          </w:p>
        </w:tc>
        <w:tc>
          <w:tcPr>
            <w:tcW w:w="1374" w:type="dxa"/>
            <w:tcBorders>
              <w:right w:val="single" w:sz="12" w:space="0" w:color="auto"/>
            </w:tcBorders>
            <w:shd w:val="clear" w:color="auto" w:fill="auto"/>
            <w:vAlign w:val="center"/>
          </w:tcPr>
          <w:p w14:paraId="315DBF17" w14:textId="37C336C3" w:rsidR="00A00A08" w:rsidRDefault="00A00A08" w:rsidP="00A00A08">
            <w:pPr>
              <w:jc w:val="center"/>
            </w:pPr>
            <w:r w:rsidRPr="00193994">
              <w:sym w:font="Wingdings" w:char="F0E9"/>
            </w:r>
          </w:p>
        </w:tc>
      </w:tr>
      <w:tr w:rsidR="00A00A08" w14:paraId="4E590A71" w14:textId="77777777" w:rsidTr="006A10B3">
        <w:tc>
          <w:tcPr>
            <w:tcW w:w="5708" w:type="dxa"/>
            <w:tcBorders>
              <w:left w:val="single" w:sz="12" w:space="0" w:color="auto"/>
            </w:tcBorders>
            <w:shd w:val="clear" w:color="auto" w:fill="auto"/>
          </w:tcPr>
          <w:p w14:paraId="573B79A7" w14:textId="77777777" w:rsidR="00A00A08" w:rsidRPr="00C26035" w:rsidRDefault="00A00A08" w:rsidP="00A00A08">
            <w:r>
              <w:t>Operationeel management</w:t>
            </w:r>
          </w:p>
        </w:tc>
        <w:tc>
          <w:tcPr>
            <w:tcW w:w="841" w:type="dxa"/>
            <w:shd w:val="clear" w:color="auto" w:fill="auto"/>
            <w:vAlign w:val="center"/>
          </w:tcPr>
          <w:p w14:paraId="1FB6EF36" w14:textId="3686C0E4" w:rsidR="00A00A08" w:rsidRDefault="00A00A08" w:rsidP="00A00A08">
            <w:pPr>
              <w:jc w:val="center"/>
            </w:pPr>
            <w:r>
              <w:t>3</w:t>
            </w:r>
          </w:p>
        </w:tc>
        <w:tc>
          <w:tcPr>
            <w:tcW w:w="1374" w:type="dxa"/>
            <w:tcBorders>
              <w:right w:val="single" w:sz="12" w:space="0" w:color="auto"/>
            </w:tcBorders>
            <w:shd w:val="clear" w:color="auto" w:fill="auto"/>
            <w:vAlign w:val="center"/>
          </w:tcPr>
          <w:p w14:paraId="4803A18A" w14:textId="4FF484F2" w:rsidR="00A00A08" w:rsidRDefault="00A00A08" w:rsidP="00A00A08">
            <w:pPr>
              <w:jc w:val="center"/>
            </w:pPr>
            <w:r w:rsidRPr="00193994">
              <w:sym w:font="Wingdings" w:char="F0E9"/>
            </w:r>
          </w:p>
        </w:tc>
      </w:tr>
      <w:tr w:rsidR="00A00A08" w14:paraId="04D37FB3" w14:textId="77777777" w:rsidTr="006A10B3">
        <w:tc>
          <w:tcPr>
            <w:tcW w:w="5708" w:type="dxa"/>
            <w:tcBorders>
              <w:left w:val="single" w:sz="12" w:space="0" w:color="auto"/>
            </w:tcBorders>
            <w:shd w:val="clear" w:color="auto" w:fill="auto"/>
          </w:tcPr>
          <w:p w14:paraId="17407B66" w14:textId="77777777" w:rsidR="00A00A08" w:rsidRPr="00C26035" w:rsidRDefault="00A00A08" w:rsidP="00A00A08">
            <w:r>
              <w:t>Beleidsevaluatie</w:t>
            </w:r>
          </w:p>
        </w:tc>
        <w:tc>
          <w:tcPr>
            <w:tcW w:w="841" w:type="dxa"/>
            <w:shd w:val="clear" w:color="auto" w:fill="auto"/>
            <w:vAlign w:val="center"/>
          </w:tcPr>
          <w:p w14:paraId="1FCABB45" w14:textId="025A7DBC" w:rsidR="00A00A08" w:rsidRDefault="00A00A08" w:rsidP="00A00A08">
            <w:pPr>
              <w:jc w:val="center"/>
            </w:pPr>
            <w:r>
              <w:t>4</w:t>
            </w:r>
          </w:p>
        </w:tc>
        <w:tc>
          <w:tcPr>
            <w:tcW w:w="1374" w:type="dxa"/>
            <w:tcBorders>
              <w:right w:val="single" w:sz="12" w:space="0" w:color="auto"/>
            </w:tcBorders>
            <w:shd w:val="clear" w:color="auto" w:fill="auto"/>
            <w:vAlign w:val="center"/>
          </w:tcPr>
          <w:p w14:paraId="3F7EF6EC" w14:textId="35C5E46C" w:rsidR="00A00A08" w:rsidRDefault="00A00A08" w:rsidP="00A00A08">
            <w:pPr>
              <w:jc w:val="center"/>
            </w:pPr>
            <w:r w:rsidRPr="00193994">
              <w:sym w:font="Wingdings" w:char="F0E9"/>
            </w:r>
          </w:p>
        </w:tc>
      </w:tr>
      <w:tr w:rsidR="00A00A08" w14:paraId="1F5B116B" w14:textId="77777777" w:rsidTr="006A10B3">
        <w:tc>
          <w:tcPr>
            <w:tcW w:w="5708" w:type="dxa"/>
            <w:tcBorders>
              <w:left w:val="single" w:sz="12" w:space="0" w:color="auto"/>
            </w:tcBorders>
            <w:shd w:val="clear" w:color="auto" w:fill="auto"/>
          </w:tcPr>
          <w:p w14:paraId="04BEBC39" w14:textId="77777777" w:rsidR="00A00A08" w:rsidRPr="00C26035" w:rsidRDefault="00A00A08" w:rsidP="00A00A08">
            <w:r w:rsidRPr="00C26035">
              <w:t>Human Resource Management</w:t>
            </w:r>
          </w:p>
        </w:tc>
        <w:tc>
          <w:tcPr>
            <w:tcW w:w="841" w:type="dxa"/>
            <w:shd w:val="clear" w:color="auto" w:fill="auto"/>
            <w:vAlign w:val="center"/>
          </w:tcPr>
          <w:p w14:paraId="24478444" w14:textId="563E60DB" w:rsidR="00A00A08" w:rsidRDefault="00A00A08" w:rsidP="00A00A08">
            <w:pPr>
              <w:jc w:val="center"/>
            </w:pPr>
            <w:r>
              <w:t>3</w:t>
            </w:r>
          </w:p>
        </w:tc>
        <w:tc>
          <w:tcPr>
            <w:tcW w:w="1374" w:type="dxa"/>
            <w:tcBorders>
              <w:right w:val="single" w:sz="12" w:space="0" w:color="auto"/>
            </w:tcBorders>
            <w:shd w:val="clear" w:color="auto" w:fill="auto"/>
            <w:vAlign w:val="center"/>
          </w:tcPr>
          <w:p w14:paraId="66A9E8F6" w14:textId="27DF99D6" w:rsidR="00A00A08" w:rsidRDefault="00A00A08" w:rsidP="00A00A08">
            <w:pPr>
              <w:jc w:val="center"/>
            </w:pPr>
            <w:r w:rsidRPr="00193994">
              <w:sym w:font="Wingdings" w:char="F0E8"/>
            </w:r>
          </w:p>
        </w:tc>
      </w:tr>
      <w:tr w:rsidR="00A00A08" w14:paraId="5C1CA756" w14:textId="77777777" w:rsidTr="006A10B3">
        <w:tc>
          <w:tcPr>
            <w:tcW w:w="5708" w:type="dxa"/>
            <w:tcBorders>
              <w:left w:val="single" w:sz="12" w:space="0" w:color="auto"/>
            </w:tcBorders>
            <w:shd w:val="clear" w:color="auto" w:fill="auto"/>
          </w:tcPr>
          <w:p w14:paraId="411291EB" w14:textId="77777777" w:rsidR="00A00A08" w:rsidRPr="00445FEE" w:rsidRDefault="00A00A08" w:rsidP="00A00A08">
            <w:r w:rsidRPr="00445FEE">
              <w:t xml:space="preserve">Financiële </w:t>
            </w:r>
            <w:r>
              <w:t>stabiliteit</w:t>
            </w:r>
          </w:p>
        </w:tc>
        <w:tc>
          <w:tcPr>
            <w:tcW w:w="841" w:type="dxa"/>
            <w:shd w:val="clear" w:color="auto" w:fill="auto"/>
            <w:vAlign w:val="center"/>
          </w:tcPr>
          <w:p w14:paraId="0074C0E9" w14:textId="476DCB4D" w:rsidR="00A00A08" w:rsidRDefault="00A00A08" w:rsidP="00A00A08">
            <w:pPr>
              <w:jc w:val="center"/>
            </w:pPr>
            <w:r>
              <w:t>3</w:t>
            </w:r>
          </w:p>
        </w:tc>
        <w:tc>
          <w:tcPr>
            <w:tcW w:w="1374" w:type="dxa"/>
            <w:tcBorders>
              <w:right w:val="single" w:sz="12" w:space="0" w:color="auto"/>
            </w:tcBorders>
            <w:shd w:val="clear" w:color="auto" w:fill="auto"/>
            <w:vAlign w:val="center"/>
          </w:tcPr>
          <w:p w14:paraId="1A196AA3" w14:textId="40BFD613" w:rsidR="00A00A08" w:rsidRDefault="00A00A08" w:rsidP="00A00A08">
            <w:pPr>
              <w:jc w:val="center"/>
            </w:pPr>
            <w:r w:rsidRPr="00193994">
              <w:sym w:font="Wingdings" w:char="F0E8"/>
            </w:r>
          </w:p>
        </w:tc>
      </w:tr>
      <w:tr w:rsidR="00A00A08" w14:paraId="7135BE1B" w14:textId="77777777" w:rsidTr="006A10B3">
        <w:tc>
          <w:tcPr>
            <w:tcW w:w="5708" w:type="dxa"/>
            <w:tcBorders>
              <w:left w:val="single" w:sz="12" w:space="0" w:color="auto"/>
            </w:tcBorders>
            <w:shd w:val="clear" w:color="auto" w:fill="auto"/>
          </w:tcPr>
          <w:p w14:paraId="5A42D82D" w14:textId="667523B9" w:rsidR="00A00A08" w:rsidRPr="00445FEE" w:rsidRDefault="00A00A08" w:rsidP="00880CAF">
            <w:r>
              <w:t>Kosten</w:t>
            </w:r>
            <w:r w:rsidR="00880CAF">
              <w:t>reductie</w:t>
            </w:r>
          </w:p>
        </w:tc>
        <w:tc>
          <w:tcPr>
            <w:tcW w:w="841" w:type="dxa"/>
            <w:shd w:val="clear" w:color="auto" w:fill="auto"/>
            <w:vAlign w:val="center"/>
          </w:tcPr>
          <w:p w14:paraId="516C2BE9" w14:textId="6F0213D8" w:rsidR="00A00A08" w:rsidRDefault="00A00A08" w:rsidP="00A00A08">
            <w:pPr>
              <w:jc w:val="center"/>
            </w:pPr>
            <w:r>
              <w:t>2</w:t>
            </w:r>
          </w:p>
        </w:tc>
        <w:tc>
          <w:tcPr>
            <w:tcW w:w="1374" w:type="dxa"/>
            <w:tcBorders>
              <w:right w:val="single" w:sz="12" w:space="0" w:color="auto"/>
            </w:tcBorders>
            <w:shd w:val="clear" w:color="auto" w:fill="auto"/>
            <w:vAlign w:val="center"/>
          </w:tcPr>
          <w:p w14:paraId="3DDD6342" w14:textId="24D8B78D" w:rsidR="00A00A08" w:rsidRDefault="00E03716" w:rsidP="00A00A08">
            <w:pPr>
              <w:jc w:val="center"/>
            </w:pPr>
            <w:r w:rsidRPr="00193994">
              <w:sym w:font="Wingdings" w:char="F0E8"/>
            </w:r>
          </w:p>
        </w:tc>
      </w:tr>
      <w:tr w:rsidR="00A00A08" w14:paraId="2C0CDF60" w14:textId="77777777" w:rsidTr="006A10B3">
        <w:tc>
          <w:tcPr>
            <w:tcW w:w="5708" w:type="dxa"/>
            <w:tcBorders>
              <w:left w:val="single" w:sz="12" w:space="0" w:color="auto"/>
              <w:bottom w:val="single" w:sz="12" w:space="0" w:color="auto"/>
            </w:tcBorders>
            <w:shd w:val="clear" w:color="auto" w:fill="auto"/>
          </w:tcPr>
          <w:p w14:paraId="46881C90" w14:textId="77777777" w:rsidR="00A00A08" w:rsidRPr="00445FEE" w:rsidRDefault="00A00A08" w:rsidP="00A00A08">
            <w:r w:rsidRPr="00445FEE">
              <w:t xml:space="preserve">Corruptiebestrijding </w:t>
            </w:r>
            <w:r>
              <w:t>en accountability</w:t>
            </w:r>
          </w:p>
        </w:tc>
        <w:tc>
          <w:tcPr>
            <w:tcW w:w="841" w:type="dxa"/>
            <w:tcBorders>
              <w:bottom w:val="single" w:sz="12" w:space="0" w:color="auto"/>
            </w:tcBorders>
            <w:shd w:val="clear" w:color="auto" w:fill="auto"/>
            <w:vAlign w:val="center"/>
          </w:tcPr>
          <w:p w14:paraId="6EBCA490" w14:textId="716764E0" w:rsidR="00A00A08" w:rsidRDefault="00A00A08" w:rsidP="00A00A08">
            <w:pPr>
              <w:jc w:val="center"/>
            </w:pPr>
            <w:r>
              <w:t>4</w:t>
            </w:r>
          </w:p>
        </w:tc>
        <w:tc>
          <w:tcPr>
            <w:tcW w:w="1374" w:type="dxa"/>
            <w:tcBorders>
              <w:bottom w:val="single" w:sz="12" w:space="0" w:color="auto"/>
              <w:right w:val="single" w:sz="12" w:space="0" w:color="auto"/>
            </w:tcBorders>
            <w:shd w:val="clear" w:color="auto" w:fill="auto"/>
            <w:vAlign w:val="center"/>
          </w:tcPr>
          <w:p w14:paraId="560229DD" w14:textId="0EF73FCD" w:rsidR="00A00A08" w:rsidRDefault="00A00A08" w:rsidP="00A00A08">
            <w:pPr>
              <w:jc w:val="center"/>
            </w:pPr>
            <w:r w:rsidRPr="00193994">
              <w:sym w:font="Wingdings" w:char="F0E8"/>
            </w:r>
          </w:p>
        </w:tc>
      </w:tr>
    </w:tbl>
    <w:p w14:paraId="2EEB3D3D" w14:textId="77777777" w:rsidR="005A07F5" w:rsidRDefault="009C7D08" w:rsidP="006E555B">
      <w:r>
        <w:tab/>
      </w:r>
    </w:p>
    <w:p w14:paraId="04E2226C" w14:textId="1F5F87D8" w:rsidR="006E555B" w:rsidRDefault="009C7D08" w:rsidP="000728EA">
      <w:pPr>
        <w:ind w:left="227" w:firstLine="227"/>
      </w:pPr>
      <w:r>
        <w:t>Beoordeling: Onvoldoende = 1, Matig = 2, Voldoende = 3, Goed = 4</w:t>
      </w:r>
    </w:p>
    <w:p w14:paraId="5CE9A4A5" w14:textId="3024EAD3" w:rsidR="009C7D08" w:rsidRDefault="009C7D08" w:rsidP="006E555B">
      <w:pPr>
        <w:rPr>
          <w:rFonts w:ascii="Segoe UI Emoji" w:eastAsia="Segoe UI Emoji" w:hAnsi="Segoe UI Emoji" w:cs="Segoe UI Emoji"/>
          <w:b/>
          <w:noProof/>
        </w:rPr>
      </w:pPr>
      <w:r>
        <w:tab/>
      </w:r>
      <w:r w:rsidR="000728EA">
        <w:tab/>
      </w:r>
      <w:r>
        <w:t xml:space="preserve">Verandering sinds 2015: Neutraal = </w:t>
      </w:r>
      <w:r w:rsidRPr="00193994">
        <w:sym w:font="Wingdings" w:char="F0E8"/>
      </w:r>
      <w:r>
        <w:t xml:space="preserve">, Positief = </w:t>
      </w:r>
      <w:r w:rsidRPr="00193994">
        <w:sym w:font="Wingdings" w:char="F0E9"/>
      </w:r>
      <w:r>
        <w:t xml:space="preserve">, Negatief = </w:t>
      </w:r>
      <w:r w:rsidRPr="00DC2083">
        <w:rPr>
          <w:rFonts w:ascii="Segoe UI Emoji" w:eastAsia="Segoe UI Emoji" w:hAnsi="Segoe UI Emoji" w:cs="Segoe UI Emoji"/>
          <w:b/>
          <w:noProof/>
        </w:rPr>
        <w:sym w:font="Wingdings" w:char="F0EA"/>
      </w:r>
    </w:p>
    <w:p w14:paraId="13515EC5" w14:textId="77777777" w:rsidR="00807E82" w:rsidRPr="00164384" w:rsidRDefault="00807E82" w:rsidP="006E555B"/>
    <w:p w14:paraId="724F33B7" w14:textId="316DA0E2" w:rsidR="006E555B" w:rsidRDefault="006E555B" w:rsidP="006E555B">
      <w:pPr>
        <w:pStyle w:val="Heading2"/>
        <w:tabs>
          <w:tab w:val="left" w:pos="-1162"/>
          <w:tab w:val="left" w:pos="0"/>
          <w:tab w:val="num" w:pos="1160"/>
        </w:tabs>
        <w:spacing w:line="240" w:lineRule="auto"/>
        <w:ind w:hanging="1162"/>
      </w:pPr>
      <w:bookmarkStart w:id="15" w:name="_Toc410397641"/>
      <w:bookmarkStart w:id="16" w:name="_Toc490833552"/>
      <w:r>
        <w:t xml:space="preserve">1.2 </w:t>
      </w:r>
      <w:r>
        <w:tab/>
        <w:t>Beleidsrelevantie</w:t>
      </w:r>
      <w:bookmarkEnd w:id="15"/>
      <w:bookmarkEnd w:id="16"/>
    </w:p>
    <w:p w14:paraId="7CB4944A" w14:textId="1BADF2CB" w:rsidR="00D666D5" w:rsidRPr="00FA4337" w:rsidRDefault="00807E82" w:rsidP="00A05531">
      <w:r w:rsidRPr="00FA4337">
        <w:t xml:space="preserve">De ILO is met name relevant voor </w:t>
      </w:r>
      <w:r w:rsidR="00D666D5" w:rsidRPr="00FA4337">
        <w:t xml:space="preserve">een viertal BHOS-prioriteiten. Ten eerste vervult de ILO een belangrijke taak binnen de internationale rechtsorde en het bevorderen van arbeidsomstandigheden, arbeidsrechten en naleving daarvan. Ook is bevordering van gelijkheid tussen mannen en vrouwen een belangrijk aspect van het mandaat van de organisatie. </w:t>
      </w:r>
      <w:r w:rsidR="00D666D5" w:rsidRPr="00FA4337">
        <w:rPr>
          <w:i/>
        </w:rPr>
        <w:t xml:space="preserve">Gender mainstreaming </w:t>
      </w:r>
      <w:r w:rsidR="00D666D5" w:rsidRPr="00FA4337">
        <w:t xml:space="preserve">kan op landenniveau nog stappen maken. Daarnaast is private sector ontwikkeling van inherent belang voor de ILO </w:t>
      </w:r>
      <w:r w:rsidR="007B08ED" w:rsidRPr="00FA4337">
        <w:t>en het belang van internationale arbeidsnormen en technische ondersteuning van de ILO helpt overheden om effectief arbeidsomstandigheden te kunnen beschermen. Tot slot</w:t>
      </w:r>
      <w:r w:rsidR="00ED6C2B">
        <w:t xml:space="preserve"> </w:t>
      </w:r>
      <w:r w:rsidR="009A11D8" w:rsidRPr="00FA4337">
        <w:t>is de</w:t>
      </w:r>
      <w:r w:rsidR="007B08ED" w:rsidRPr="00FA4337">
        <w:t xml:space="preserve"> ILO op landenniveau </w:t>
      </w:r>
      <w:r w:rsidR="009A11D8" w:rsidRPr="00FA4337">
        <w:t>bezig met</w:t>
      </w:r>
      <w:r w:rsidR="007B08ED" w:rsidRPr="00FA4337">
        <w:t xml:space="preserve"> programma’s die zich </w:t>
      </w:r>
      <w:r w:rsidR="007B08ED" w:rsidRPr="00FA4337">
        <w:lastRenderedPageBreak/>
        <w:t xml:space="preserve">richten op (jeugd-)werkgelegenheid en sociale zekerheid in het </w:t>
      </w:r>
      <w:r w:rsidR="009A11D8" w:rsidRPr="00FA4337">
        <w:t>kader</w:t>
      </w:r>
      <w:r w:rsidR="007B08ED" w:rsidRPr="00FA4337">
        <w:t xml:space="preserve"> van inclusieve ontwikkeling. </w:t>
      </w:r>
    </w:p>
    <w:p w14:paraId="2BAC3528" w14:textId="5E4517E5" w:rsidR="007B08ED" w:rsidRPr="00FA4337" w:rsidRDefault="007B08ED" w:rsidP="00A05531"/>
    <w:p w14:paraId="1BB2A13B" w14:textId="186BB746" w:rsidR="007B08ED" w:rsidRPr="00FA4337" w:rsidRDefault="007B08ED" w:rsidP="00A05531">
      <w:r w:rsidRPr="00FA4337">
        <w:t>Qua overige relevantie heeft de ILO een norm</w:t>
      </w:r>
      <w:r w:rsidR="009A11D8" w:rsidRPr="00FA4337">
        <w:t>atieve</w:t>
      </w:r>
      <w:r w:rsidRPr="00FA4337">
        <w:t xml:space="preserve"> taak op het gebied van internationale arbeids- en mensenrechten. Deze rechten vormen een integraal onderdeel van het Nederlands</w:t>
      </w:r>
      <w:r w:rsidR="009A11D8" w:rsidRPr="00FA4337">
        <w:t>e</w:t>
      </w:r>
      <w:r w:rsidRPr="00FA4337">
        <w:t xml:space="preserve"> mensenrechtenbeleid. </w:t>
      </w:r>
      <w:r w:rsidR="009A11D8" w:rsidRPr="00FA4337">
        <w:t>Hierop is er</w:t>
      </w:r>
      <w:r w:rsidRPr="00FA4337">
        <w:t xml:space="preserve"> nog ruimte voor verbetering</w:t>
      </w:r>
      <w:r w:rsidR="009A11D8" w:rsidRPr="00FA4337">
        <w:t>:</w:t>
      </w:r>
      <w:r w:rsidRPr="00FA4337">
        <w:t xml:space="preserve"> </w:t>
      </w:r>
      <w:r w:rsidR="009A11D8" w:rsidRPr="00FA4337">
        <w:t>v</w:t>
      </w:r>
      <w:r w:rsidRPr="00FA4337">
        <w:t xml:space="preserve">erouderde en prescriptieve verdragen zouden nog </w:t>
      </w:r>
      <w:r w:rsidR="009A11D8" w:rsidRPr="00FA4337">
        <w:t>gemoderniseerd</w:t>
      </w:r>
      <w:r w:rsidRPr="00FA4337">
        <w:t xml:space="preserve"> kunnen worden en het </w:t>
      </w:r>
      <w:r w:rsidR="00ED6C2B" w:rsidRPr="00FA4337">
        <w:t>toezicht mechanisme</w:t>
      </w:r>
      <w:r w:rsidRPr="00FA4337">
        <w:t xml:space="preserve"> moet </w:t>
      </w:r>
      <w:r w:rsidR="009A11D8" w:rsidRPr="00FA4337">
        <w:t>in de komende jaren weer goed blijven functioneren</w:t>
      </w:r>
      <w:r w:rsidR="00446082" w:rsidRPr="00FA4337">
        <w:t xml:space="preserve"> na de crisis van 2012</w:t>
      </w:r>
      <w:r w:rsidRPr="00FA4337">
        <w:t>.</w:t>
      </w:r>
    </w:p>
    <w:p w14:paraId="7F69C290" w14:textId="77777777" w:rsidR="006E555B" w:rsidRDefault="006E555B" w:rsidP="006E55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932"/>
        <w:gridCol w:w="1984"/>
        <w:gridCol w:w="1899"/>
      </w:tblGrid>
      <w:tr w:rsidR="006E555B" w14:paraId="60499BA8" w14:textId="77777777" w:rsidTr="00B618CB">
        <w:tc>
          <w:tcPr>
            <w:tcW w:w="1881" w:type="dxa"/>
            <w:tcBorders>
              <w:top w:val="single" w:sz="12" w:space="0" w:color="auto"/>
              <w:left w:val="single" w:sz="12" w:space="0" w:color="auto"/>
              <w:bottom w:val="single" w:sz="12" w:space="0" w:color="auto"/>
            </w:tcBorders>
            <w:shd w:val="clear" w:color="auto" w:fill="BFBFBF" w:themeFill="background1" w:themeFillShade="BF"/>
          </w:tcPr>
          <w:p w14:paraId="1759F8CA" w14:textId="77777777" w:rsidR="006E555B" w:rsidRDefault="006E555B" w:rsidP="009C7D08">
            <w:pPr>
              <w:jc w:val="right"/>
            </w:pPr>
          </w:p>
        </w:tc>
        <w:tc>
          <w:tcPr>
            <w:tcW w:w="1932" w:type="dxa"/>
            <w:tcBorders>
              <w:top w:val="single" w:sz="12" w:space="0" w:color="auto"/>
              <w:bottom w:val="single" w:sz="12" w:space="0" w:color="auto"/>
            </w:tcBorders>
            <w:shd w:val="clear" w:color="auto" w:fill="BFBFBF" w:themeFill="background1" w:themeFillShade="BF"/>
          </w:tcPr>
          <w:p w14:paraId="71AA1534" w14:textId="77777777" w:rsidR="006E555B" w:rsidRPr="00D94DB4" w:rsidRDefault="006E555B" w:rsidP="009C7D08">
            <w:pPr>
              <w:rPr>
                <w:b/>
              </w:rPr>
            </w:pPr>
            <w:r w:rsidRPr="00D94DB4">
              <w:rPr>
                <w:b/>
              </w:rPr>
              <w:t>Uitvoerend</w:t>
            </w:r>
          </w:p>
        </w:tc>
        <w:tc>
          <w:tcPr>
            <w:tcW w:w="1984" w:type="dxa"/>
            <w:tcBorders>
              <w:top w:val="single" w:sz="12" w:space="0" w:color="auto"/>
              <w:bottom w:val="single" w:sz="12" w:space="0" w:color="auto"/>
            </w:tcBorders>
            <w:shd w:val="clear" w:color="auto" w:fill="BFBFBF" w:themeFill="background1" w:themeFillShade="BF"/>
          </w:tcPr>
          <w:p w14:paraId="24FC5218" w14:textId="77777777" w:rsidR="006E555B" w:rsidRPr="00D94DB4" w:rsidRDefault="006E555B" w:rsidP="009C7D08">
            <w:pPr>
              <w:rPr>
                <w:b/>
              </w:rPr>
            </w:pPr>
            <w:r w:rsidRPr="00D94DB4">
              <w:rPr>
                <w:b/>
              </w:rPr>
              <w:t>Coördinerend</w:t>
            </w:r>
          </w:p>
        </w:tc>
        <w:tc>
          <w:tcPr>
            <w:tcW w:w="1899" w:type="dxa"/>
            <w:tcBorders>
              <w:top w:val="single" w:sz="12" w:space="0" w:color="auto"/>
              <w:right w:val="single" w:sz="12" w:space="0" w:color="auto"/>
            </w:tcBorders>
            <w:shd w:val="clear" w:color="auto" w:fill="BFBFBF" w:themeFill="background1" w:themeFillShade="BF"/>
          </w:tcPr>
          <w:p w14:paraId="7EE63343" w14:textId="77777777" w:rsidR="006E555B" w:rsidRPr="00D94DB4" w:rsidRDefault="006E555B" w:rsidP="009C7D08">
            <w:pPr>
              <w:rPr>
                <w:b/>
              </w:rPr>
            </w:pPr>
            <w:r w:rsidRPr="00D94DB4">
              <w:rPr>
                <w:b/>
              </w:rPr>
              <w:t>Normatief</w:t>
            </w:r>
          </w:p>
        </w:tc>
      </w:tr>
      <w:tr w:rsidR="006E555B" w14:paraId="44ADCA79" w14:textId="77777777" w:rsidTr="00B618CB">
        <w:trPr>
          <w:trHeight w:val="273"/>
        </w:trPr>
        <w:tc>
          <w:tcPr>
            <w:tcW w:w="7696" w:type="dxa"/>
            <w:gridSpan w:val="4"/>
            <w:tcBorders>
              <w:top w:val="single" w:sz="12" w:space="0" w:color="auto"/>
              <w:left w:val="single" w:sz="12" w:space="0" w:color="auto"/>
              <w:right w:val="single" w:sz="12" w:space="0" w:color="auto"/>
            </w:tcBorders>
            <w:shd w:val="clear" w:color="auto" w:fill="BFBFBF" w:themeFill="background1" w:themeFillShade="BF"/>
          </w:tcPr>
          <w:p w14:paraId="34E808FE" w14:textId="6B348EDB" w:rsidR="006E555B" w:rsidRPr="00D94DB4" w:rsidRDefault="006E555B" w:rsidP="009C7D08">
            <w:pPr>
              <w:rPr>
                <w:b/>
              </w:rPr>
            </w:pPr>
            <w:r>
              <w:rPr>
                <w:b/>
              </w:rPr>
              <w:t>Relevantie voor de Nederlandse BHOS-prioriteiten</w:t>
            </w:r>
          </w:p>
        </w:tc>
      </w:tr>
      <w:tr w:rsidR="006E555B" w14:paraId="505AEA28" w14:textId="77777777" w:rsidTr="00A05531">
        <w:tc>
          <w:tcPr>
            <w:tcW w:w="1881" w:type="dxa"/>
            <w:tcBorders>
              <w:top w:val="single" w:sz="12" w:space="0" w:color="auto"/>
              <w:left w:val="single" w:sz="12" w:space="0" w:color="auto"/>
            </w:tcBorders>
            <w:shd w:val="clear" w:color="auto" w:fill="auto"/>
          </w:tcPr>
          <w:p w14:paraId="1B5778F2" w14:textId="77777777" w:rsidR="006E555B" w:rsidRDefault="006E555B" w:rsidP="009C7D08">
            <w:r>
              <w:t>Veiligheid en rechtsorde</w:t>
            </w:r>
          </w:p>
        </w:tc>
        <w:tc>
          <w:tcPr>
            <w:tcW w:w="1932" w:type="dxa"/>
            <w:tcBorders>
              <w:top w:val="single" w:sz="12" w:space="0" w:color="auto"/>
            </w:tcBorders>
            <w:shd w:val="clear" w:color="auto" w:fill="auto"/>
          </w:tcPr>
          <w:p w14:paraId="05C78A13" w14:textId="519E849F" w:rsidR="006E555B" w:rsidRDefault="006D1874" w:rsidP="009C7D08">
            <w:r>
              <w:t>3</w:t>
            </w:r>
          </w:p>
        </w:tc>
        <w:tc>
          <w:tcPr>
            <w:tcW w:w="1984" w:type="dxa"/>
            <w:tcBorders>
              <w:top w:val="single" w:sz="12" w:space="0" w:color="auto"/>
            </w:tcBorders>
            <w:shd w:val="clear" w:color="auto" w:fill="auto"/>
          </w:tcPr>
          <w:p w14:paraId="5308AA2E" w14:textId="77777777" w:rsidR="006E555B" w:rsidRDefault="006E555B" w:rsidP="009C7D08"/>
        </w:tc>
        <w:tc>
          <w:tcPr>
            <w:tcW w:w="1899" w:type="dxa"/>
            <w:tcBorders>
              <w:top w:val="single" w:sz="12" w:space="0" w:color="auto"/>
              <w:right w:val="single" w:sz="12" w:space="0" w:color="auto"/>
            </w:tcBorders>
            <w:shd w:val="clear" w:color="auto" w:fill="auto"/>
          </w:tcPr>
          <w:p w14:paraId="0E759828" w14:textId="25899343" w:rsidR="006E555B" w:rsidRDefault="006D1874" w:rsidP="009C7D08">
            <w:r>
              <w:t>3</w:t>
            </w:r>
          </w:p>
        </w:tc>
      </w:tr>
      <w:tr w:rsidR="006E555B" w14:paraId="140A20A7" w14:textId="77777777" w:rsidTr="00A05531">
        <w:tc>
          <w:tcPr>
            <w:tcW w:w="1881" w:type="dxa"/>
            <w:tcBorders>
              <w:left w:val="single" w:sz="12" w:space="0" w:color="auto"/>
            </w:tcBorders>
            <w:shd w:val="clear" w:color="auto" w:fill="auto"/>
          </w:tcPr>
          <w:p w14:paraId="040BE2A0" w14:textId="77777777" w:rsidR="006E555B" w:rsidRDefault="006E555B" w:rsidP="009C7D08">
            <w:r>
              <w:t>Gendergelijkheid</w:t>
            </w:r>
          </w:p>
        </w:tc>
        <w:tc>
          <w:tcPr>
            <w:tcW w:w="1932" w:type="dxa"/>
            <w:shd w:val="clear" w:color="auto" w:fill="auto"/>
          </w:tcPr>
          <w:p w14:paraId="5701C14E" w14:textId="0A098A5E" w:rsidR="006E555B" w:rsidRDefault="006D1874" w:rsidP="009C7D08">
            <w:r>
              <w:t>4</w:t>
            </w:r>
          </w:p>
        </w:tc>
        <w:tc>
          <w:tcPr>
            <w:tcW w:w="1984" w:type="dxa"/>
            <w:shd w:val="clear" w:color="auto" w:fill="auto"/>
          </w:tcPr>
          <w:p w14:paraId="7961BB7A" w14:textId="77777777" w:rsidR="006E555B" w:rsidRDefault="006E555B" w:rsidP="009C7D08"/>
        </w:tc>
        <w:tc>
          <w:tcPr>
            <w:tcW w:w="1899" w:type="dxa"/>
            <w:tcBorders>
              <w:right w:val="single" w:sz="12" w:space="0" w:color="auto"/>
            </w:tcBorders>
            <w:shd w:val="clear" w:color="auto" w:fill="auto"/>
          </w:tcPr>
          <w:p w14:paraId="356237F9" w14:textId="0C664A5A" w:rsidR="006E555B" w:rsidRDefault="006D1874" w:rsidP="009C7D08">
            <w:r>
              <w:t>4</w:t>
            </w:r>
          </w:p>
        </w:tc>
      </w:tr>
      <w:tr w:rsidR="006E555B" w14:paraId="35E8490B" w14:textId="77777777" w:rsidTr="00A05531">
        <w:tc>
          <w:tcPr>
            <w:tcW w:w="1881" w:type="dxa"/>
            <w:tcBorders>
              <w:left w:val="single" w:sz="12" w:space="0" w:color="auto"/>
            </w:tcBorders>
            <w:shd w:val="clear" w:color="auto" w:fill="auto"/>
          </w:tcPr>
          <w:p w14:paraId="0093E318" w14:textId="0F039813" w:rsidR="006E555B" w:rsidRDefault="006E555B" w:rsidP="00E727EE">
            <w:r>
              <w:t xml:space="preserve">Private sector </w:t>
            </w:r>
            <w:r w:rsidR="00E727EE">
              <w:t>ontwikkeling</w:t>
            </w:r>
          </w:p>
        </w:tc>
        <w:tc>
          <w:tcPr>
            <w:tcW w:w="1932" w:type="dxa"/>
            <w:shd w:val="clear" w:color="auto" w:fill="auto"/>
          </w:tcPr>
          <w:p w14:paraId="447BCF7C" w14:textId="3C25C856" w:rsidR="006E555B" w:rsidRDefault="006D1874" w:rsidP="009C7D08">
            <w:r>
              <w:t>4</w:t>
            </w:r>
          </w:p>
        </w:tc>
        <w:tc>
          <w:tcPr>
            <w:tcW w:w="1984" w:type="dxa"/>
            <w:shd w:val="clear" w:color="auto" w:fill="auto"/>
          </w:tcPr>
          <w:p w14:paraId="5CD391A0" w14:textId="77777777" w:rsidR="006E555B" w:rsidRDefault="006E555B" w:rsidP="009C7D08"/>
        </w:tc>
        <w:tc>
          <w:tcPr>
            <w:tcW w:w="1899" w:type="dxa"/>
            <w:tcBorders>
              <w:right w:val="single" w:sz="12" w:space="0" w:color="auto"/>
            </w:tcBorders>
            <w:shd w:val="clear" w:color="auto" w:fill="auto"/>
          </w:tcPr>
          <w:p w14:paraId="3B869AAA" w14:textId="6D6A6397" w:rsidR="006E555B" w:rsidRDefault="006D1874" w:rsidP="009C7D08">
            <w:r>
              <w:t>4</w:t>
            </w:r>
          </w:p>
        </w:tc>
      </w:tr>
      <w:tr w:rsidR="006E555B" w14:paraId="37637E9F" w14:textId="77777777" w:rsidTr="00B618CB">
        <w:trPr>
          <w:trHeight w:val="291"/>
        </w:trPr>
        <w:tc>
          <w:tcPr>
            <w:tcW w:w="7696"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6FB96BA5" w14:textId="12A0328D" w:rsidR="006E555B" w:rsidRDefault="006E555B" w:rsidP="009C7D08">
            <w:r>
              <w:rPr>
                <w:b/>
              </w:rPr>
              <w:t>Overige relevantie</w:t>
            </w:r>
          </w:p>
        </w:tc>
      </w:tr>
      <w:tr w:rsidR="006E555B" w14:paraId="754EC9AE" w14:textId="77777777" w:rsidTr="00891BDD">
        <w:tc>
          <w:tcPr>
            <w:tcW w:w="1881" w:type="dxa"/>
            <w:tcBorders>
              <w:top w:val="single" w:sz="12" w:space="0" w:color="auto"/>
              <w:left w:val="single" w:sz="12" w:space="0" w:color="auto"/>
              <w:bottom w:val="single" w:sz="12" w:space="0" w:color="auto"/>
            </w:tcBorders>
            <w:shd w:val="clear" w:color="auto" w:fill="auto"/>
          </w:tcPr>
          <w:p w14:paraId="22E8992A" w14:textId="0402BE0A" w:rsidR="006E555B" w:rsidRDefault="007B08ED" w:rsidP="009C7D08">
            <w:r>
              <w:t xml:space="preserve">Bevorderen internationale arbeidsnormen. </w:t>
            </w:r>
          </w:p>
        </w:tc>
        <w:tc>
          <w:tcPr>
            <w:tcW w:w="1932" w:type="dxa"/>
            <w:tcBorders>
              <w:top w:val="single" w:sz="12" w:space="0" w:color="auto"/>
              <w:bottom w:val="single" w:sz="12" w:space="0" w:color="auto"/>
            </w:tcBorders>
            <w:shd w:val="clear" w:color="auto" w:fill="auto"/>
          </w:tcPr>
          <w:p w14:paraId="5048A9B0" w14:textId="0C2B9FCA" w:rsidR="006E555B" w:rsidRDefault="006E555B" w:rsidP="009C7D08"/>
        </w:tc>
        <w:tc>
          <w:tcPr>
            <w:tcW w:w="1984" w:type="dxa"/>
            <w:tcBorders>
              <w:top w:val="single" w:sz="12" w:space="0" w:color="auto"/>
              <w:bottom w:val="single" w:sz="12" w:space="0" w:color="auto"/>
            </w:tcBorders>
            <w:shd w:val="clear" w:color="auto" w:fill="auto"/>
          </w:tcPr>
          <w:p w14:paraId="0EA29F14" w14:textId="77777777" w:rsidR="006E555B" w:rsidRDefault="006E555B" w:rsidP="009C7D08"/>
        </w:tc>
        <w:tc>
          <w:tcPr>
            <w:tcW w:w="1899" w:type="dxa"/>
            <w:tcBorders>
              <w:top w:val="single" w:sz="12" w:space="0" w:color="auto"/>
              <w:bottom w:val="single" w:sz="12" w:space="0" w:color="auto"/>
              <w:right w:val="single" w:sz="12" w:space="0" w:color="auto"/>
            </w:tcBorders>
            <w:shd w:val="clear" w:color="auto" w:fill="auto"/>
          </w:tcPr>
          <w:p w14:paraId="0FBD8973" w14:textId="03FAD8C2" w:rsidR="006E555B" w:rsidRDefault="00F44B0F" w:rsidP="009C7D08">
            <w:r>
              <w:t>4</w:t>
            </w:r>
          </w:p>
        </w:tc>
      </w:tr>
    </w:tbl>
    <w:p w14:paraId="1AB3BAE3" w14:textId="77777777" w:rsidR="005A07F5" w:rsidRDefault="005A07F5" w:rsidP="009C7D08">
      <w:pPr>
        <w:ind w:firstLine="227"/>
        <w:jc w:val="both"/>
      </w:pPr>
    </w:p>
    <w:p w14:paraId="552797F1" w14:textId="4CF98016" w:rsidR="00101F98" w:rsidRPr="00A908F9" w:rsidRDefault="009C7D08" w:rsidP="000728EA">
      <w:pPr>
        <w:ind w:left="227" w:firstLine="227"/>
        <w:jc w:val="both"/>
        <w:sectPr w:rsidR="00101F98" w:rsidRPr="00A908F9" w:rsidSect="00EE1B9E">
          <w:headerReference w:type="first" r:id="rId16"/>
          <w:type w:val="continuous"/>
          <w:pgSz w:w="11906" w:h="16838" w:code="9"/>
          <w:pgMar w:top="2520" w:right="960" w:bottom="1080" w:left="3220" w:header="200" w:footer="660" w:gutter="0"/>
          <w:cols w:space="708"/>
          <w:titlePg/>
          <w:docGrid w:linePitch="360"/>
        </w:sectPr>
      </w:pPr>
      <w:r>
        <w:t>Beoordeling: Onvoldoende = 1, Matig = 2, Voldoende = 3, Goed = 4</w:t>
      </w:r>
    </w:p>
    <w:p w14:paraId="7FA2A8A1" w14:textId="770D7BBD" w:rsidR="00B95FC2" w:rsidRPr="00734374" w:rsidRDefault="006E555B" w:rsidP="00734374">
      <w:pPr>
        <w:pStyle w:val="Heading1"/>
        <w:tabs>
          <w:tab w:val="num" w:pos="0"/>
        </w:tabs>
        <w:spacing w:after="240" w:line="240" w:lineRule="auto"/>
        <w:ind w:hanging="1162"/>
      </w:pPr>
      <w:bookmarkStart w:id="17" w:name="_Toc238533654"/>
      <w:bookmarkStart w:id="18" w:name="_Toc238537583"/>
      <w:bookmarkStart w:id="19" w:name="_Toc238538136"/>
      <w:bookmarkStart w:id="20" w:name="_Toc238538151"/>
      <w:bookmarkStart w:id="21" w:name="_Toc300822504"/>
      <w:bookmarkStart w:id="22" w:name="_Toc490833553"/>
      <w:bookmarkEnd w:id="17"/>
      <w:bookmarkEnd w:id="18"/>
      <w:bookmarkEnd w:id="19"/>
      <w:bookmarkEnd w:id="20"/>
      <w:r>
        <w:lastRenderedPageBreak/>
        <w:t>2</w:t>
      </w:r>
      <w:r w:rsidR="00734374" w:rsidRPr="00734374">
        <w:t xml:space="preserve"> </w:t>
      </w:r>
      <w:r w:rsidR="00734374">
        <w:tab/>
      </w:r>
      <w:r w:rsidR="00AD0CCB" w:rsidRPr="00734374">
        <w:t>Inleiding</w:t>
      </w:r>
      <w:bookmarkEnd w:id="21"/>
      <w:bookmarkEnd w:id="22"/>
    </w:p>
    <w:p w14:paraId="3DBBF744" w14:textId="2271699B" w:rsidR="005D3322" w:rsidRDefault="005150FC" w:rsidP="005150FC">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w:t>
      </w:r>
      <w:r w:rsidR="0045182A">
        <w:rPr>
          <w:szCs w:val="18"/>
          <w:lang w:eastAsia="zh-CN"/>
        </w:rPr>
        <w:t xml:space="preserve"> (IFI’s)</w:t>
      </w:r>
      <w:r w:rsidR="003B4CB4">
        <w:rPr>
          <w:szCs w:val="18"/>
          <w:lang w:eastAsia="zh-CN"/>
        </w:rPr>
        <w:t xml:space="preserve">, </w:t>
      </w:r>
      <w:r w:rsidR="00223E42">
        <w:rPr>
          <w:szCs w:val="18"/>
          <w:lang w:eastAsia="zh-CN"/>
        </w:rPr>
        <w:t xml:space="preserve">de voor Nederlands </w:t>
      </w:r>
      <w:r w:rsidR="0045182A">
        <w:rPr>
          <w:szCs w:val="18"/>
          <w:lang w:eastAsia="zh-CN"/>
        </w:rPr>
        <w:t>beleid voor Buitenlandse Handel en Ontwikkelingssamenwerking (BHOS)</w:t>
      </w:r>
      <w:r w:rsidR="00223E42">
        <w:rPr>
          <w:szCs w:val="18"/>
          <w:lang w:eastAsia="zh-CN"/>
        </w:rPr>
        <w:t xml:space="preserve"> 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beleid voor </w:t>
      </w:r>
      <w:r w:rsidR="0045182A">
        <w:rPr>
          <w:szCs w:val="18"/>
          <w:lang w:eastAsia="zh-CN"/>
        </w:rPr>
        <w:t>BHOS</w:t>
      </w:r>
      <w:r w:rsidR="00CF0A55">
        <w:rPr>
          <w:szCs w:val="18"/>
          <w:lang w:eastAsia="zh-CN"/>
        </w:rPr>
        <w:t>,</w:t>
      </w:r>
      <w:r w:rsidR="005D3322">
        <w:rPr>
          <w:szCs w:val="18"/>
          <w:lang w:eastAsia="zh-CN"/>
        </w:rPr>
        <w:t xml:space="preserve"> maar 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4FB1385C" w14:textId="77777777" w:rsidR="005150FC" w:rsidRPr="00307981" w:rsidRDefault="005150FC" w:rsidP="005150FC">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vierpuntsschaal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1821C246" w14:textId="77777777" w:rsidR="005150FC" w:rsidRPr="00307981" w:rsidRDefault="005150FC" w:rsidP="005150FC">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r w:rsidRPr="00AF36B0">
        <w:rPr>
          <w:i/>
          <w:szCs w:val="18"/>
          <w:lang w:eastAsia="zh-CN"/>
        </w:rPr>
        <w:t>Multilateral Organisations Performance Assessment Network</w:t>
      </w:r>
      <w:r w:rsidRPr="00307981">
        <w:rPr>
          <w:szCs w:val="18"/>
          <w:lang w:eastAsia="zh-CN"/>
        </w:rPr>
        <w:t xml:space="preserve"> (MOPAN)</w:t>
      </w:r>
      <w:r w:rsidR="00456C9B">
        <w:rPr>
          <w:szCs w:val="18"/>
          <w:lang w:eastAsia="zh-CN"/>
        </w:rPr>
        <w:t>.</w:t>
      </w:r>
      <w:r>
        <w:rPr>
          <w:rStyle w:val="FootnoteReference"/>
          <w:szCs w:val="18"/>
          <w:lang w:eastAsia="zh-CN"/>
        </w:rPr>
        <w:footnoteReference w:id="2"/>
      </w:r>
      <w:r>
        <w:rPr>
          <w:szCs w:val="18"/>
          <w:lang w:eastAsia="zh-CN"/>
        </w:rPr>
        <w:t xml:space="preserve"> </w:t>
      </w:r>
      <w:r w:rsidRPr="00307981">
        <w:rPr>
          <w:szCs w:val="18"/>
          <w:lang w:eastAsia="zh-CN"/>
        </w:rPr>
        <w:t>Daarnaast wordt om de input gevraagd van betrokken vakdepartementen, de Permanente Vertegenwoordigingen</w:t>
      </w:r>
      <w:r>
        <w:rPr>
          <w:szCs w:val="18"/>
          <w:lang w:eastAsia="zh-CN"/>
        </w:rPr>
        <w:t xml:space="preserve"> en</w:t>
      </w:r>
      <w:r w:rsidRPr="00307981">
        <w:rPr>
          <w:szCs w:val="18"/>
          <w:lang w:eastAsia="zh-CN"/>
        </w:rPr>
        <w:t xml:space="preserve"> Kiesgroepkantoren. Ook </w:t>
      </w:r>
      <w:r w:rsidR="004E60C0">
        <w:rPr>
          <w:szCs w:val="18"/>
          <w:lang w:eastAsia="zh-CN"/>
        </w:rPr>
        <w:t xml:space="preserve">informatie </w:t>
      </w:r>
      <w:r>
        <w:rPr>
          <w:szCs w:val="18"/>
          <w:lang w:eastAsia="zh-CN"/>
        </w:rPr>
        <w:t xml:space="preserve">van ambassades </w:t>
      </w:r>
      <w:r w:rsidRPr="00307981">
        <w:rPr>
          <w:szCs w:val="18"/>
          <w:lang w:eastAsia="zh-CN"/>
        </w:rPr>
        <w:t xml:space="preserve">over het functioneren van landenkantoren </w:t>
      </w:r>
      <w:r>
        <w:rPr>
          <w:szCs w:val="18"/>
          <w:lang w:eastAsia="zh-CN"/>
        </w:rPr>
        <w:t>van multilaterale instellingen zijn</w:t>
      </w:r>
      <w:r w:rsidRPr="00307981">
        <w:rPr>
          <w:szCs w:val="18"/>
          <w:lang w:eastAsia="zh-CN"/>
        </w:rPr>
        <w:t xml:space="preserve"> in de scorecard </w:t>
      </w:r>
      <w:r w:rsidR="00710978">
        <w:rPr>
          <w:szCs w:val="18"/>
          <w:lang w:eastAsia="zh-CN"/>
        </w:rPr>
        <w:t>verwerkt</w:t>
      </w:r>
      <w:r>
        <w:rPr>
          <w:szCs w:val="18"/>
          <w:lang w:eastAsia="zh-CN"/>
        </w:rPr>
        <w:t>.</w:t>
      </w:r>
      <w:r w:rsidRPr="00307981">
        <w:rPr>
          <w:szCs w:val="18"/>
          <w:lang w:eastAsia="zh-CN"/>
        </w:rPr>
        <w:t xml:space="preserve"> </w:t>
      </w:r>
      <w:r w:rsidR="00AC567F">
        <w:rPr>
          <w:szCs w:val="18"/>
          <w:lang w:eastAsia="zh-CN"/>
        </w:rPr>
        <w:t>De s</w:t>
      </w:r>
      <w:r w:rsidRPr="00307981">
        <w:rPr>
          <w:szCs w:val="18"/>
          <w:lang w:eastAsia="zh-CN"/>
        </w:rPr>
        <w:t xml:space="preserve">corecards </w:t>
      </w:r>
      <w:r>
        <w:rPr>
          <w:szCs w:val="18"/>
          <w:lang w:eastAsia="zh-CN"/>
        </w:rPr>
        <w:t xml:space="preserve">worden </w:t>
      </w:r>
      <w:r w:rsidR="002633CA">
        <w:rPr>
          <w:szCs w:val="18"/>
          <w:lang w:eastAsia="zh-CN"/>
        </w:rPr>
        <w:t xml:space="preserve">iedere twee jaar </w:t>
      </w:r>
      <w:r w:rsidRPr="00307981">
        <w:rPr>
          <w:szCs w:val="18"/>
          <w:lang w:eastAsia="zh-CN"/>
        </w:rPr>
        <w:t>geactualiseerd</w:t>
      </w:r>
      <w:r w:rsidR="002C77AF">
        <w:rPr>
          <w:szCs w:val="18"/>
          <w:lang w:eastAsia="zh-CN"/>
        </w:rPr>
        <w:t>.</w:t>
      </w:r>
      <w:r w:rsidRPr="00307981">
        <w:rPr>
          <w:szCs w:val="18"/>
          <w:lang w:eastAsia="zh-CN"/>
        </w:rPr>
        <w:t xml:space="preserve"> </w:t>
      </w:r>
    </w:p>
    <w:p w14:paraId="59EB408D" w14:textId="77777777" w:rsidR="00307981" w:rsidRPr="00307981" w:rsidRDefault="00307981" w:rsidP="00307981"/>
    <w:p w14:paraId="4ADB1555" w14:textId="4D5CCEAF" w:rsidR="00D745A7" w:rsidRDefault="006E555B" w:rsidP="00F24A31">
      <w:pPr>
        <w:pStyle w:val="Heading1"/>
        <w:tabs>
          <w:tab w:val="num" w:pos="0"/>
        </w:tabs>
        <w:spacing w:after="240" w:line="240" w:lineRule="auto"/>
        <w:ind w:hanging="1162"/>
      </w:pPr>
      <w:bookmarkStart w:id="23" w:name="_Toc490833554"/>
      <w:r>
        <w:lastRenderedPageBreak/>
        <w:t>3</w:t>
      </w:r>
      <w:r w:rsidR="00F24A31">
        <w:t xml:space="preserve"> </w:t>
      </w:r>
      <w:r w:rsidR="00F24A31">
        <w:tab/>
      </w:r>
      <w:r w:rsidR="00D745A7">
        <w:t>Algemene achtergrond</w:t>
      </w:r>
      <w:bookmarkEnd w:id="23"/>
    </w:p>
    <w:p w14:paraId="35448436" w14:textId="77777777" w:rsidR="006E555B" w:rsidRPr="006E555B" w:rsidRDefault="006E555B" w:rsidP="006E555B">
      <w:pPr>
        <w:pStyle w:val="ListParagraph"/>
        <w:keepNext/>
        <w:widowControl w:val="0"/>
        <w:numPr>
          <w:ilvl w:val="0"/>
          <w:numId w:val="21"/>
        </w:numPr>
        <w:tabs>
          <w:tab w:val="left" w:pos="-1162"/>
          <w:tab w:val="left" w:pos="0"/>
        </w:tabs>
        <w:spacing w:before="200" w:after="0" w:line="240" w:lineRule="auto"/>
        <w:outlineLvl w:val="1"/>
        <w:rPr>
          <w:rFonts w:ascii="Verdana" w:eastAsia="Times New Roman" w:hAnsi="Verdana" w:cs="Arial"/>
          <w:b/>
          <w:iCs/>
          <w:vanish/>
          <w:kern w:val="32"/>
          <w:sz w:val="18"/>
          <w:szCs w:val="28"/>
          <w:lang w:eastAsia="nl-NL"/>
        </w:rPr>
      </w:pPr>
    </w:p>
    <w:p w14:paraId="71A88C35" w14:textId="77777777" w:rsidR="006E555B" w:rsidRPr="006E555B" w:rsidRDefault="006E555B" w:rsidP="006E555B">
      <w:pPr>
        <w:pStyle w:val="ListParagraph"/>
        <w:keepNext/>
        <w:widowControl w:val="0"/>
        <w:numPr>
          <w:ilvl w:val="0"/>
          <w:numId w:val="21"/>
        </w:numPr>
        <w:tabs>
          <w:tab w:val="left" w:pos="-1162"/>
          <w:tab w:val="left" w:pos="0"/>
        </w:tabs>
        <w:spacing w:before="200" w:after="0" w:line="240" w:lineRule="auto"/>
        <w:outlineLvl w:val="1"/>
        <w:rPr>
          <w:rFonts w:ascii="Verdana" w:eastAsia="Times New Roman" w:hAnsi="Verdana" w:cs="Arial"/>
          <w:b/>
          <w:iCs/>
          <w:vanish/>
          <w:kern w:val="32"/>
          <w:sz w:val="18"/>
          <w:szCs w:val="28"/>
          <w:lang w:eastAsia="nl-NL"/>
        </w:rPr>
      </w:pPr>
    </w:p>
    <w:p w14:paraId="1A51A1BA" w14:textId="21CC988F" w:rsidR="009C4AAC" w:rsidRPr="009C4AAC" w:rsidRDefault="00ED6C2B" w:rsidP="009C7D08">
      <w:pPr>
        <w:pStyle w:val="Heading2"/>
        <w:numPr>
          <w:ilvl w:val="1"/>
          <w:numId w:val="21"/>
        </w:numPr>
        <w:tabs>
          <w:tab w:val="left" w:pos="-1162"/>
          <w:tab w:val="left" w:pos="0"/>
        </w:tabs>
        <w:spacing w:line="240" w:lineRule="auto"/>
      </w:pPr>
      <w:r>
        <w:t xml:space="preserve">      </w:t>
      </w:r>
      <w:r w:rsidR="006E555B">
        <w:t xml:space="preserve"> </w:t>
      </w:r>
      <w:r w:rsidR="006E3770">
        <w:tab/>
      </w:r>
      <w:bookmarkStart w:id="24" w:name="_Toc490833555"/>
      <w:r w:rsidR="0055776D">
        <w:t>Doelstelling</w:t>
      </w:r>
      <w:r w:rsidR="00FC6EC6">
        <w:t xml:space="preserve"> en toegevoegde waarde</w:t>
      </w:r>
      <w:bookmarkEnd w:id="24"/>
    </w:p>
    <w:p w14:paraId="3907CDC2" w14:textId="33C357F6" w:rsidR="008137C7" w:rsidRDefault="00641820" w:rsidP="00641820">
      <w:r w:rsidRPr="00641820">
        <w:t xml:space="preserve">De International Labour Organization (ILO) is in 1919 opgericht bij het Verdrag van Versailles en daarmee de oudste VN-organisatie. De organisatie heeft als doel het wereldwijd bevorderen van sociale rechtvaardigheid en internationaal aanvaarde mensen- en arbeidsrechten, volgens de oprichtingsakte een voorwaarde voor universele en duurzame vrede. </w:t>
      </w:r>
    </w:p>
    <w:p w14:paraId="5A04066C" w14:textId="77777777" w:rsidR="008137C7" w:rsidRDefault="008137C7" w:rsidP="00641820"/>
    <w:p w14:paraId="4E665029" w14:textId="77777777" w:rsidR="008137C7" w:rsidRDefault="00641820" w:rsidP="00641820">
      <w:r w:rsidRPr="00641820">
        <w:t>De ILO is allereerst een normstellende organisatie en het mondiale kenniscentrum op het gebied van arbeid en sociale zekerheid. De kerntaak van de ILO</w:t>
      </w:r>
      <w:r w:rsidR="008137C7">
        <w:t>, ook ten opzichte van haar bijdrage aan de implementatie van de SDG</w:t>
      </w:r>
      <w:r w:rsidR="00B21ABE">
        <w:t>’</w:t>
      </w:r>
      <w:r w:rsidR="008137C7">
        <w:t>s,</w:t>
      </w:r>
      <w:r w:rsidRPr="00641820">
        <w:t xml:space="preserve"> is het vaststellen van internationale arbeidsnormen en het toezicht houden op de naleving ervan</w:t>
      </w:r>
      <w:r w:rsidR="001543A7">
        <w:t>. Daarnaast ondersteunt de organisatie lidstaten bij de implementatie van arbeidsnormen en de naleving ervan</w:t>
      </w:r>
      <w:r w:rsidRPr="00641820">
        <w:t>. Het werkterrein van de organisatie betreft onder meer de fundamentele arbeidsnormen (verbod op kinderarbeid, dwangarbeid en discriminatie op de werkvloer en het recht op vakvereniging en collectieve onderhandelingen) en het bevorderen van fatsoenlijk werk wereldwijd.</w:t>
      </w:r>
      <w:r w:rsidR="008137C7">
        <w:t xml:space="preserve"> </w:t>
      </w:r>
    </w:p>
    <w:p w14:paraId="3CA1768F" w14:textId="77777777" w:rsidR="0043760A" w:rsidRDefault="0043760A" w:rsidP="00641820"/>
    <w:p w14:paraId="1DCDB5C6" w14:textId="2899044E" w:rsidR="00641820" w:rsidRDefault="00107D12" w:rsidP="00AE5230">
      <w:r>
        <w:t>De ILO is ook dé normstellende VN-organisatie die de implementatie van SDG 8</w:t>
      </w:r>
      <w:r w:rsidR="008C0A49">
        <w:t xml:space="preserve"> (Fatsoenlijk Werk)</w:t>
      </w:r>
      <w:r>
        <w:t xml:space="preserve"> ondersteunt. Hierbij richt de ILO met de</w:t>
      </w:r>
      <w:r w:rsidR="006E4993">
        <w:t xml:space="preserve"> </w:t>
      </w:r>
      <w:r w:rsidR="006E4993">
        <w:rPr>
          <w:i/>
        </w:rPr>
        <w:t xml:space="preserve">Decent Work Agenda </w:t>
      </w:r>
      <w:r w:rsidR="006E4993">
        <w:t>(Fatsoenlijk Werk) op vier pijlers:</w:t>
      </w:r>
      <w:r>
        <w:t xml:space="preserve"> </w:t>
      </w:r>
      <w:r w:rsidR="006E4993" w:rsidRPr="00641820">
        <w:rPr>
          <w:szCs w:val="22"/>
        </w:rPr>
        <w:t>bevordering van werkgelegenheid, verbetering van sociale bescherming, versterking van de sociale dialoog en de bevordering van (</w:t>
      </w:r>
      <w:r w:rsidR="006E4993">
        <w:rPr>
          <w:szCs w:val="22"/>
        </w:rPr>
        <w:t xml:space="preserve">de naleving van) arbeidsnormen. </w:t>
      </w:r>
      <w:r>
        <w:t xml:space="preserve">Daarnaast </w:t>
      </w:r>
      <w:r w:rsidR="008C0A49">
        <w:t>ondersteunt de ILO ook de implementatie van andere SDG</w:t>
      </w:r>
      <w:r w:rsidR="00B21ABE">
        <w:t>’</w:t>
      </w:r>
      <w:r w:rsidR="008C0A49">
        <w:t>s met een dimensie op het gebied van Fatsoenlijk Werk</w:t>
      </w:r>
      <w:r w:rsidR="001543A7">
        <w:t>.</w:t>
      </w:r>
      <w:r w:rsidR="008C0A49">
        <w:t xml:space="preserve"> </w:t>
      </w:r>
      <w:r w:rsidR="001543A7">
        <w:t>H</w:t>
      </w:r>
      <w:r w:rsidR="008C0A49">
        <w:t>et tegengaan van ongelijkheid en armoede</w:t>
      </w:r>
      <w:r w:rsidR="00C82501">
        <w:t xml:space="preserve"> (SDG 1)</w:t>
      </w:r>
      <w:r w:rsidR="008C0A49">
        <w:t xml:space="preserve"> vereist </w:t>
      </w:r>
      <w:r w:rsidR="001543A7">
        <w:t xml:space="preserve">bijvoorbeeld </w:t>
      </w:r>
      <w:r w:rsidR="008C0A49">
        <w:t xml:space="preserve">ook de implementatie van sociale </w:t>
      </w:r>
      <w:r w:rsidR="00C82501">
        <w:t>bescherming</w:t>
      </w:r>
      <w:r w:rsidR="001543A7">
        <w:t>smaatregelen</w:t>
      </w:r>
      <w:r w:rsidR="00C82501">
        <w:t xml:space="preserve"> en inkomens- en fiscaal beleid. </w:t>
      </w:r>
    </w:p>
    <w:p w14:paraId="1146F9FB" w14:textId="77777777" w:rsidR="007F0923" w:rsidRDefault="007F0923" w:rsidP="00AE5230"/>
    <w:p w14:paraId="056E5A4F" w14:textId="00393280" w:rsidR="009C4AAC" w:rsidRPr="009C4AAC" w:rsidRDefault="00ED6C2B" w:rsidP="009C7D08">
      <w:pPr>
        <w:pStyle w:val="Heading2"/>
        <w:numPr>
          <w:ilvl w:val="1"/>
          <w:numId w:val="21"/>
        </w:numPr>
        <w:tabs>
          <w:tab w:val="left" w:pos="-1162"/>
          <w:tab w:val="left" w:pos="0"/>
        </w:tabs>
        <w:spacing w:line="240" w:lineRule="auto"/>
      </w:pPr>
      <w:r>
        <w:t xml:space="preserve">      </w:t>
      </w:r>
      <w:r w:rsidR="006E555B">
        <w:t xml:space="preserve"> </w:t>
      </w:r>
      <w:r w:rsidR="006E3770">
        <w:tab/>
      </w:r>
      <w:bookmarkStart w:id="25" w:name="_Toc490833556"/>
      <w:r w:rsidR="00D745A7">
        <w:t>Organisatie, werkwijze en activiteiten</w:t>
      </w:r>
      <w:bookmarkEnd w:id="25"/>
    </w:p>
    <w:p w14:paraId="0B44BD29" w14:textId="775187E1" w:rsidR="00641820" w:rsidRPr="00641820" w:rsidRDefault="00641820" w:rsidP="00641820">
      <w:pPr>
        <w:rPr>
          <w:szCs w:val="22"/>
        </w:rPr>
      </w:pPr>
      <w:r w:rsidRPr="00641820">
        <w:t>De ILO heeft als enige VN-organisatie een tripartiete structuur waarin overheden, werkgevers- en werknemersorganisaties vertegenwoordigd zijn en participeren op voet van gelijkheid (allen hebben stemrecht).</w:t>
      </w:r>
      <w:r w:rsidR="274800A5" w:rsidRPr="00641820">
        <w:t xml:space="preserve"> </w:t>
      </w:r>
      <w:r w:rsidRPr="00641820">
        <w:t xml:space="preserve">Het secretariaat is gevestigd in Genève en de ILO is daarnaast wereldwijd vertegenwoordigd met </w:t>
      </w:r>
      <w:r w:rsidRPr="00607C54">
        <w:rPr>
          <w:szCs w:val="22"/>
        </w:rPr>
        <w:t xml:space="preserve">5 regiokantoren, </w:t>
      </w:r>
      <w:r w:rsidRPr="00737BB2">
        <w:rPr>
          <w:szCs w:val="22"/>
        </w:rPr>
        <w:t>1</w:t>
      </w:r>
      <w:r w:rsidR="001543A7" w:rsidRPr="00737BB2">
        <w:rPr>
          <w:szCs w:val="22"/>
        </w:rPr>
        <w:t>2</w:t>
      </w:r>
      <w:r w:rsidRPr="00737BB2">
        <w:rPr>
          <w:szCs w:val="22"/>
        </w:rPr>
        <w:t xml:space="preserve"> </w:t>
      </w:r>
      <w:r w:rsidRPr="003553A7">
        <w:rPr>
          <w:i/>
          <w:szCs w:val="22"/>
        </w:rPr>
        <w:t>Decent Work</w:t>
      </w:r>
      <w:r w:rsidRPr="00737BB2">
        <w:rPr>
          <w:szCs w:val="22"/>
        </w:rPr>
        <w:t xml:space="preserve"> Teams en </w:t>
      </w:r>
      <w:r w:rsidR="00160711">
        <w:rPr>
          <w:szCs w:val="22"/>
        </w:rPr>
        <w:t>ongeveer</w:t>
      </w:r>
      <w:r w:rsidR="00607C54" w:rsidRPr="00607C54">
        <w:rPr>
          <w:szCs w:val="22"/>
        </w:rPr>
        <w:t xml:space="preserve"> </w:t>
      </w:r>
      <w:r w:rsidR="00160711">
        <w:rPr>
          <w:szCs w:val="22"/>
        </w:rPr>
        <w:t>46</w:t>
      </w:r>
      <w:r w:rsidRPr="00607C54">
        <w:rPr>
          <w:szCs w:val="22"/>
        </w:rPr>
        <w:t xml:space="preserve"> landenkantoren</w:t>
      </w:r>
      <w:r w:rsidR="001C3E25">
        <w:rPr>
          <w:szCs w:val="22"/>
        </w:rPr>
        <w:t>.</w:t>
      </w:r>
      <w:r w:rsidR="004958A1">
        <w:rPr>
          <w:rStyle w:val="FootnoteReference"/>
          <w:szCs w:val="22"/>
        </w:rPr>
        <w:footnoteReference w:id="3"/>
      </w:r>
      <w:r w:rsidR="001543A7">
        <w:rPr>
          <w:szCs w:val="22"/>
        </w:rPr>
        <w:t xml:space="preserve"> </w:t>
      </w:r>
    </w:p>
    <w:p w14:paraId="07912236" w14:textId="77777777" w:rsidR="00641820" w:rsidRPr="00641820" w:rsidRDefault="00641820" w:rsidP="00641820">
      <w:pPr>
        <w:rPr>
          <w:szCs w:val="22"/>
        </w:rPr>
      </w:pPr>
    </w:p>
    <w:p w14:paraId="644236BC" w14:textId="529B7BB6" w:rsidR="00641820" w:rsidRDefault="00641820" w:rsidP="00641820">
      <w:pPr>
        <w:rPr>
          <w:szCs w:val="22"/>
        </w:rPr>
      </w:pPr>
      <w:r w:rsidRPr="00641820">
        <w:rPr>
          <w:szCs w:val="22"/>
        </w:rPr>
        <w:t xml:space="preserve">De </w:t>
      </w:r>
      <w:r w:rsidRPr="00642A29">
        <w:rPr>
          <w:i/>
          <w:szCs w:val="22"/>
        </w:rPr>
        <w:t>International Labour Conference</w:t>
      </w:r>
      <w:r w:rsidRPr="00641820">
        <w:rPr>
          <w:szCs w:val="22"/>
        </w:rPr>
        <w:t xml:space="preserve"> (ILC), die elk jaar in Genève bijeenkomt, is het hoogste besluitvormende orgaan van de ILO. De ILC bestaat uit vertegenwoordigers van overheden, werkgevers en werknemers van alle 18</w:t>
      </w:r>
      <w:r w:rsidR="00A84269">
        <w:rPr>
          <w:szCs w:val="22"/>
        </w:rPr>
        <w:t>7</w:t>
      </w:r>
      <w:r w:rsidRPr="00641820">
        <w:rPr>
          <w:szCs w:val="22"/>
        </w:rPr>
        <w:t xml:space="preserve"> ILO-lidstaten. Zij bepaalt het beleid van de ILO op hoofdlijnen, neemt verdragen en aanbevelingen aan en beschikt over een tripartiet toezichtmechanisme op de naleving van verdragen en aanbevelingen. Over de naleving wordt jaarlijks een rapport uitgebracht dat wordt besproken in de ILC. Elke lidstaat dient te voldoen aan een aantal verplichtingen met betrekking tot uitvoering van de verdragen, waaronder voortgangsrapportages. De ILO kan daarbij technische assistentie verlenen. De Beheersraad is het uitvoerende orgaan van de ILO en komt driemaal per jaar bijeen. De Beheersraad bestaat in totaal uit 122 leden. Hiervan zijn </w:t>
      </w:r>
      <w:r w:rsidRPr="00737BB2">
        <w:rPr>
          <w:szCs w:val="22"/>
        </w:rPr>
        <w:t xml:space="preserve">56 reguliere leden (met een verdeling van 28 </w:t>
      </w:r>
      <w:r w:rsidR="00A84269" w:rsidRPr="00737BB2">
        <w:rPr>
          <w:szCs w:val="22"/>
        </w:rPr>
        <w:t>overheids</w:t>
      </w:r>
      <w:r w:rsidR="006A10B3" w:rsidRPr="00737BB2">
        <w:rPr>
          <w:szCs w:val="22"/>
        </w:rPr>
        <w:t>-,</w:t>
      </w:r>
      <w:r w:rsidRPr="00737BB2">
        <w:rPr>
          <w:szCs w:val="22"/>
        </w:rPr>
        <w:t xml:space="preserve"> 14 werknemers- en 14 </w:t>
      </w:r>
      <w:r w:rsidR="006A10B3" w:rsidRPr="00737BB2">
        <w:rPr>
          <w:szCs w:val="22"/>
        </w:rPr>
        <w:t>werkgeversvertegenwoordigers</w:t>
      </w:r>
      <w:r w:rsidRPr="00737BB2">
        <w:rPr>
          <w:szCs w:val="22"/>
        </w:rPr>
        <w:t xml:space="preserve">) met stemrecht. De andere 66 zijn plaatsvervangende leden (waarvan 28 </w:t>
      </w:r>
      <w:r w:rsidR="00A84269" w:rsidRPr="00737BB2">
        <w:t>overheids</w:t>
      </w:r>
      <w:r w:rsidRPr="00737BB2">
        <w:rPr>
          <w:szCs w:val="22"/>
        </w:rPr>
        <w:t>-, 19 werknemers- en 19 werkgeversvertegenwoordigers)</w:t>
      </w:r>
      <w:r w:rsidRPr="00641820">
        <w:rPr>
          <w:szCs w:val="22"/>
        </w:rPr>
        <w:t xml:space="preserve"> met spreekrecht, maar zonder </w:t>
      </w:r>
      <w:r w:rsidRPr="00641820">
        <w:rPr>
          <w:szCs w:val="22"/>
        </w:rPr>
        <w:lastRenderedPageBreak/>
        <w:t>stemrecht. Het stemrecht is in de praktijk alleen relevant bij verkiezingen van de Directeur-Generaal, omdat verder vrijwel alle besluiten bij consensus worden genomen. Van de overheidszetels worden 10 bezet door permanente leden, de andere overheidszetels rouleren om de drie jaar.</w:t>
      </w:r>
      <w:r w:rsidR="00A84269">
        <w:rPr>
          <w:szCs w:val="22"/>
        </w:rPr>
        <w:t xml:space="preserve"> Nederland is tot juni 2017 plaatsverv</w:t>
      </w:r>
      <w:r w:rsidR="001F45BA">
        <w:rPr>
          <w:szCs w:val="22"/>
        </w:rPr>
        <w:t xml:space="preserve">angend lid van de Beheersraad. </w:t>
      </w:r>
      <w:r w:rsidRPr="00641820">
        <w:rPr>
          <w:szCs w:val="22"/>
        </w:rPr>
        <w:t xml:space="preserve">De Beheersraad geeft aanwijzingen over het tweejaarlijkse werkprogramma en legt deze aan de jaarlijkse ILC ter goedkeuring voor. De Directeur-Generaal leidt het secretariaat van de ILO. </w:t>
      </w:r>
      <w:r w:rsidRPr="00474212">
        <w:rPr>
          <w:szCs w:val="22"/>
        </w:rPr>
        <w:t>De huidige Directeur-Generaal, Guy Ryder, trad in oktober 2012 aan voor een termijn van 5 jaar</w:t>
      </w:r>
      <w:r w:rsidR="00474212" w:rsidRPr="00474212">
        <w:rPr>
          <w:szCs w:val="22"/>
        </w:rPr>
        <w:t xml:space="preserve"> en </w:t>
      </w:r>
      <w:r w:rsidR="00A84269">
        <w:rPr>
          <w:szCs w:val="22"/>
        </w:rPr>
        <w:t>i</w:t>
      </w:r>
      <w:r w:rsidR="00474212" w:rsidRPr="00474212">
        <w:rPr>
          <w:szCs w:val="22"/>
        </w:rPr>
        <w:t xml:space="preserve">s in december 2016 </w:t>
      </w:r>
      <w:r w:rsidR="00474212">
        <w:rPr>
          <w:szCs w:val="22"/>
        </w:rPr>
        <w:t xml:space="preserve">met ruime tripartiete steun </w:t>
      </w:r>
      <w:r w:rsidR="00474212" w:rsidRPr="00474212">
        <w:rPr>
          <w:szCs w:val="22"/>
        </w:rPr>
        <w:t>herkozen voor een tweede termijn</w:t>
      </w:r>
      <w:r w:rsidR="006E6D7C">
        <w:rPr>
          <w:szCs w:val="22"/>
        </w:rPr>
        <w:t>.</w:t>
      </w:r>
      <w:r w:rsidRPr="00641820">
        <w:rPr>
          <w:szCs w:val="22"/>
        </w:rPr>
        <w:t xml:space="preserve"> Hij heeft zich ten doel gesteld om de organisatie grondig te hervormen ten einde effectiever en efficiënter te worden. </w:t>
      </w:r>
    </w:p>
    <w:p w14:paraId="147A7884" w14:textId="77777777" w:rsidR="00160711" w:rsidRDefault="00160711" w:rsidP="00641820">
      <w:pPr>
        <w:rPr>
          <w:szCs w:val="22"/>
        </w:rPr>
      </w:pPr>
    </w:p>
    <w:p w14:paraId="36ACE5FC" w14:textId="152A9B97" w:rsidR="008F05F7" w:rsidRPr="008F05F7" w:rsidRDefault="00160711" w:rsidP="00641820">
      <w:pPr>
        <w:rPr>
          <w:szCs w:val="22"/>
        </w:rPr>
      </w:pPr>
      <w:r>
        <w:rPr>
          <w:szCs w:val="22"/>
        </w:rPr>
        <w:t xml:space="preserve">De activiteiten van de ILO richten zich op vier strategische doelen, die gestoeld zijn op de zogenaamde </w:t>
      </w:r>
      <w:r>
        <w:rPr>
          <w:i/>
          <w:szCs w:val="22"/>
        </w:rPr>
        <w:t>Decent Work Agenda</w:t>
      </w:r>
      <w:r>
        <w:rPr>
          <w:szCs w:val="22"/>
        </w:rPr>
        <w:t xml:space="preserve"> (DWA): het stellen en bevorderen van fundamentele arbeidsnormen, het bevorderen van fatsoenlijk werk en inkomen voor mannen en vrouwen, het verbeteren van sociale bescherming, en het versterken van sociale dialoog. </w:t>
      </w:r>
      <w:r w:rsidR="008F05F7">
        <w:rPr>
          <w:szCs w:val="22"/>
        </w:rPr>
        <w:t xml:space="preserve">De inzet van het hoofdkantoor en de veldkantoren richten zich op de doelstellingen van de </w:t>
      </w:r>
      <w:r w:rsidR="008F05F7">
        <w:rPr>
          <w:i/>
          <w:szCs w:val="22"/>
        </w:rPr>
        <w:t xml:space="preserve">Decent Work Agenda, </w:t>
      </w:r>
      <w:r w:rsidR="008F05F7">
        <w:rPr>
          <w:szCs w:val="22"/>
        </w:rPr>
        <w:t>vaak gekoppeld aan het toezichtmechanisme van de ILO. Technische assistentie wordt ingezet om lidstaten te helpen voldoen aan de eisen van geratificeerde verdragen, de fundamentele verdragen (die ook gerespecteerd moeten worden wanneer deze niet geratificeerd zijn door een land) en om specifieke problemen in een land te helpen adresseren. De ILO richt zich daarbij zowel op</w:t>
      </w:r>
      <w:r w:rsidR="00640FF1">
        <w:rPr>
          <w:szCs w:val="22"/>
        </w:rPr>
        <w:t xml:space="preserve"> </w:t>
      </w:r>
      <w:r w:rsidR="00640FF1">
        <w:rPr>
          <w:i/>
          <w:szCs w:val="22"/>
        </w:rPr>
        <w:t>Least Developed Countries</w:t>
      </w:r>
      <w:r w:rsidR="008F05F7">
        <w:rPr>
          <w:szCs w:val="22"/>
        </w:rPr>
        <w:t xml:space="preserve"> </w:t>
      </w:r>
      <w:r w:rsidR="00640FF1">
        <w:rPr>
          <w:szCs w:val="22"/>
        </w:rPr>
        <w:t>(</w:t>
      </w:r>
      <w:r w:rsidR="008F05F7">
        <w:rPr>
          <w:szCs w:val="22"/>
        </w:rPr>
        <w:t>LDC</w:t>
      </w:r>
      <w:r w:rsidR="007E4A02">
        <w:rPr>
          <w:szCs w:val="22"/>
        </w:rPr>
        <w:t>’</w:t>
      </w:r>
      <w:r w:rsidR="008F05F7">
        <w:rPr>
          <w:szCs w:val="22"/>
        </w:rPr>
        <w:t>s</w:t>
      </w:r>
      <w:r w:rsidR="00640FF1">
        <w:rPr>
          <w:szCs w:val="22"/>
        </w:rPr>
        <w:t>)</w:t>
      </w:r>
      <w:r w:rsidR="008F05F7">
        <w:rPr>
          <w:szCs w:val="22"/>
        </w:rPr>
        <w:t xml:space="preserve">, ontwikkelingslanden en </w:t>
      </w:r>
      <w:r w:rsidR="00640FF1" w:rsidRPr="006A10B3">
        <w:rPr>
          <w:i/>
          <w:szCs w:val="22"/>
        </w:rPr>
        <w:t>Middle Income Countries</w:t>
      </w:r>
      <w:r w:rsidR="00640FF1">
        <w:rPr>
          <w:szCs w:val="22"/>
        </w:rPr>
        <w:t xml:space="preserve"> (</w:t>
      </w:r>
      <w:r w:rsidR="008F05F7">
        <w:rPr>
          <w:szCs w:val="22"/>
        </w:rPr>
        <w:t>MIC</w:t>
      </w:r>
      <w:r w:rsidR="007E4A02">
        <w:rPr>
          <w:szCs w:val="22"/>
        </w:rPr>
        <w:t>’</w:t>
      </w:r>
      <w:r w:rsidR="008F05F7">
        <w:rPr>
          <w:szCs w:val="22"/>
        </w:rPr>
        <w:t>s</w:t>
      </w:r>
      <w:r w:rsidR="00640FF1">
        <w:rPr>
          <w:szCs w:val="22"/>
        </w:rPr>
        <w:t>)</w:t>
      </w:r>
      <w:r w:rsidR="008F05F7">
        <w:rPr>
          <w:szCs w:val="22"/>
        </w:rPr>
        <w:t xml:space="preserve">. De ILO zet bij MICs in op </w:t>
      </w:r>
      <w:r w:rsidR="008F05F7" w:rsidRPr="006A10B3">
        <w:rPr>
          <w:i/>
          <w:szCs w:val="22"/>
        </w:rPr>
        <w:t>cost-sharing arrangements</w:t>
      </w:r>
      <w:r w:rsidR="008F05F7">
        <w:rPr>
          <w:szCs w:val="22"/>
        </w:rPr>
        <w:t>, waarbij het land zelf bijdraagt aan de technische assistentie van de ILO</w:t>
      </w:r>
      <w:r w:rsidR="006E6D7C">
        <w:rPr>
          <w:szCs w:val="22"/>
        </w:rPr>
        <w:t>.</w:t>
      </w:r>
      <w:r w:rsidR="008F05F7">
        <w:rPr>
          <w:szCs w:val="22"/>
        </w:rPr>
        <w:t xml:space="preserve"> De resultaten hiervan zijn vooralsnog gemengd. </w:t>
      </w:r>
    </w:p>
    <w:p w14:paraId="4330E9A7" w14:textId="77777777" w:rsidR="008F05F7" w:rsidRDefault="008F05F7" w:rsidP="00641820">
      <w:pPr>
        <w:rPr>
          <w:szCs w:val="22"/>
        </w:rPr>
      </w:pPr>
    </w:p>
    <w:p w14:paraId="3B9C0669" w14:textId="3F530454" w:rsidR="000E66F2" w:rsidRDefault="008D7B45" w:rsidP="00641820">
      <w:pPr>
        <w:rPr>
          <w:szCs w:val="22"/>
        </w:rPr>
      </w:pPr>
      <w:r>
        <w:rPr>
          <w:szCs w:val="22"/>
        </w:rPr>
        <w:t>De ILO is toegewijd om</w:t>
      </w:r>
      <w:r w:rsidR="00BD6BAD">
        <w:rPr>
          <w:szCs w:val="22"/>
        </w:rPr>
        <w:t xml:space="preserve"> </w:t>
      </w:r>
      <w:r>
        <w:rPr>
          <w:szCs w:val="22"/>
        </w:rPr>
        <w:t xml:space="preserve">coherentie, effectiviteit en efficiëntie van het VN-ontwikkelingssysteem te bevorderen. De Office rapporteert jaarlijks aan de Beheersraad over de voortgang op de </w:t>
      </w:r>
      <w:r w:rsidR="00641820" w:rsidRPr="00AD514F">
        <w:rPr>
          <w:i/>
          <w:szCs w:val="22"/>
        </w:rPr>
        <w:t>Quadrennial Comprehensive Policy Review</w:t>
      </w:r>
      <w:r w:rsidR="00641820" w:rsidRPr="00641820">
        <w:rPr>
          <w:szCs w:val="22"/>
        </w:rPr>
        <w:t xml:space="preserve"> (QCPR) resolutie</w:t>
      </w:r>
      <w:r>
        <w:rPr>
          <w:szCs w:val="22"/>
        </w:rPr>
        <w:t xml:space="preserve">. De QCPR-resolutie geeft sturing aan het VN-ontwikkelingssysteem, en is voor de ILO niet bindend maar wordt wel voor zover mogelijk (gezien tripartiete structuur) geïmplementeerd. </w:t>
      </w:r>
      <w:r w:rsidR="00641820" w:rsidRPr="00641820">
        <w:rPr>
          <w:szCs w:val="22"/>
        </w:rPr>
        <w:t>De ILO loopt op s</w:t>
      </w:r>
      <w:r w:rsidR="00AD514F">
        <w:rPr>
          <w:szCs w:val="22"/>
        </w:rPr>
        <w:t>chema met de implementatie van de QCPR</w:t>
      </w:r>
      <w:r w:rsidR="007E4A02">
        <w:rPr>
          <w:szCs w:val="22"/>
        </w:rPr>
        <w:t>-</w:t>
      </w:r>
      <w:r w:rsidR="00AD514F">
        <w:rPr>
          <w:szCs w:val="22"/>
        </w:rPr>
        <w:t>resolutie uit 2012</w:t>
      </w:r>
      <w:r w:rsidR="009A60EE">
        <w:rPr>
          <w:szCs w:val="22"/>
        </w:rPr>
        <w:t>, en de Office zal ook een plan voor implementatie presenteren van de nieuwe QCPR</w:t>
      </w:r>
      <w:r w:rsidR="007E4A02">
        <w:rPr>
          <w:szCs w:val="22"/>
        </w:rPr>
        <w:t>-</w:t>
      </w:r>
      <w:r w:rsidR="009A60EE">
        <w:rPr>
          <w:szCs w:val="22"/>
        </w:rPr>
        <w:t>resolutie die</w:t>
      </w:r>
      <w:r w:rsidR="00E345A0">
        <w:rPr>
          <w:szCs w:val="22"/>
        </w:rPr>
        <w:t xml:space="preserve"> in december 2016 is aangenomen. </w:t>
      </w:r>
      <w:r w:rsidR="00A84269">
        <w:rPr>
          <w:szCs w:val="22"/>
        </w:rPr>
        <w:t xml:space="preserve">Onder DG Ryder heeft de organisatie de programmatische en </w:t>
      </w:r>
      <w:r w:rsidR="006A10B3">
        <w:rPr>
          <w:szCs w:val="22"/>
        </w:rPr>
        <w:t>beheer cyclus</w:t>
      </w:r>
      <w:r w:rsidR="00A84269">
        <w:rPr>
          <w:szCs w:val="22"/>
        </w:rPr>
        <w:t xml:space="preserve"> aangepast om beter aan te sluiten bij de QCPR-cyclus</w:t>
      </w:r>
      <w:r w:rsidR="006E6D7C">
        <w:rPr>
          <w:szCs w:val="22"/>
        </w:rPr>
        <w:t>.</w:t>
      </w:r>
      <w:r w:rsidR="00A84269">
        <w:rPr>
          <w:rStyle w:val="FootnoteReference"/>
          <w:szCs w:val="22"/>
        </w:rPr>
        <w:footnoteReference w:id="4"/>
      </w:r>
      <w:r w:rsidR="00A84269">
        <w:rPr>
          <w:szCs w:val="22"/>
        </w:rPr>
        <w:t xml:space="preserve"> </w:t>
      </w:r>
      <w:r w:rsidR="00E345A0" w:rsidRPr="00E345A0">
        <w:rPr>
          <w:szCs w:val="22"/>
        </w:rPr>
        <w:t>Vanaf</w:t>
      </w:r>
      <w:r w:rsidR="00E345A0">
        <w:rPr>
          <w:szCs w:val="22"/>
        </w:rPr>
        <w:t xml:space="preserve"> 2018 zal het strategisch </w:t>
      </w:r>
      <w:r w:rsidR="00E345A0" w:rsidRPr="00641820">
        <w:rPr>
          <w:szCs w:val="22"/>
        </w:rPr>
        <w:t>raamwerk en het programma en budget in de pas lopen met de andere VN-organisaties.</w:t>
      </w:r>
      <w:r w:rsidR="00E345A0">
        <w:rPr>
          <w:szCs w:val="22"/>
        </w:rPr>
        <w:t xml:space="preserve"> </w:t>
      </w:r>
      <w:r w:rsidR="00F83026" w:rsidRPr="00641820">
        <w:rPr>
          <w:szCs w:val="22"/>
        </w:rPr>
        <w:t xml:space="preserve">De ILO past ook de </w:t>
      </w:r>
      <w:r w:rsidR="00F83026" w:rsidRPr="00F83026">
        <w:rPr>
          <w:i/>
          <w:szCs w:val="22"/>
        </w:rPr>
        <w:t>Decent Work Country Programmes</w:t>
      </w:r>
      <w:r w:rsidR="00F83026" w:rsidRPr="00641820">
        <w:rPr>
          <w:szCs w:val="22"/>
        </w:rPr>
        <w:t xml:space="preserve"> (DCWP’s) aan om in lijn te werken met </w:t>
      </w:r>
      <w:r w:rsidR="00F83026" w:rsidRPr="00F83026">
        <w:rPr>
          <w:i/>
          <w:szCs w:val="22"/>
        </w:rPr>
        <w:t>United Nations Development Assistance Framework</w:t>
      </w:r>
      <w:r w:rsidR="00F83026">
        <w:rPr>
          <w:szCs w:val="22"/>
        </w:rPr>
        <w:t xml:space="preserve"> (UNDAF) richtlijnen.</w:t>
      </w:r>
    </w:p>
    <w:p w14:paraId="62C65172" w14:textId="77777777" w:rsidR="000E66F2" w:rsidRDefault="000E66F2" w:rsidP="00641820">
      <w:pPr>
        <w:rPr>
          <w:szCs w:val="22"/>
        </w:rPr>
      </w:pPr>
    </w:p>
    <w:p w14:paraId="2882830C" w14:textId="72DC580E" w:rsidR="009A60EE" w:rsidRPr="00F83026" w:rsidRDefault="00FD724E" w:rsidP="00641820">
      <w:pPr>
        <w:rPr>
          <w:i/>
          <w:szCs w:val="22"/>
        </w:rPr>
      </w:pPr>
      <w:r>
        <w:rPr>
          <w:szCs w:val="22"/>
        </w:rPr>
        <w:t xml:space="preserve">De ILO heeft gendergelijkheid en de genderdimensie </w:t>
      </w:r>
      <w:r w:rsidR="005606F3">
        <w:rPr>
          <w:szCs w:val="22"/>
        </w:rPr>
        <w:t xml:space="preserve">proberen </w:t>
      </w:r>
      <w:r>
        <w:rPr>
          <w:szCs w:val="22"/>
        </w:rPr>
        <w:t xml:space="preserve">te </w:t>
      </w:r>
      <w:r w:rsidRPr="00FD724E">
        <w:rPr>
          <w:i/>
          <w:szCs w:val="22"/>
        </w:rPr>
        <w:t>mainstreamen</w:t>
      </w:r>
      <w:r>
        <w:rPr>
          <w:szCs w:val="22"/>
        </w:rPr>
        <w:t xml:space="preserve">. Dit houdt o.a. in dat de ILO gendergelijkheid als dimensie heeft opgenomen in Programma &amp; Budget documenten, en er is een </w:t>
      </w:r>
      <w:r>
        <w:rPr>
          <w:i/>
          <w:szCs w:val="22"/>
        </w:rPr>
        <w:t xml:space="preserve">Action Plan for Gender Equality. </w:t>
      </w:r>
      <w:r w:rsidR="00E345A0" w:rsidRPr="00FD724E">
        <w:rPr>
          <w:szCs w:val="22"/>
        </w:rPr>
        <w:t>De</w:t>
      </w:r>
      <w:r w:rsidR="00E345A0" w:rsidRPr="00641820">
        <w:rPr>
          <w:szCs w:val="22"/>
        </w:rPr>
        <w:t xml:space="preserve"> ILO maakt goed gebruik van het UN-SWAP raamwerk als middel om gendergelijkheid na te streven. </w:t>
      </w:r>
      <w:r w:rsidR="00E345A0" w:rsidRPr="00F83026">
        <w:rPr>
          <w:szCs w:val="22"/>
        </w:rPr>
        <w:t xml:space="preserve">Een </w:t>
      </w:r>
      <w:r w:rsidR="00E345A0" w:rsidRPr="00642A29">
        <w:rPr>
          <w:i/>
          <w:szCs w:val="22"/>
        </w:rPr>
        <w:t>participatory gender audit</w:t>
      </w:r>
      <w:r w:rsidR="00E345A0" w:rsidRPr="00F83026">
        <w:rPr>
          <w:szCs w:val="22"/>
        </w:rPr>
        <w:t xml:space="preserve"> wordt eens in de vijf jaar uitgevoerd.</w:t>
      </w:r>
      <w:r w:rsidR="00E345A0">
        <w:rPr>
          <w:szCs w:val="22"/>
        </w:rPr>
        <w:t xml:space="preserve"> </w:t>
      </w:r>
      <w:r w:rsidR="00FF1153">
        <w:rPr>
          <w:szCs w:val="22"/>
        </w:rPr>
        <w:t xml:space="preserve">In het P&amp;B 2018-2019 is gender als dwarsdoorsnijdend thema opgenomen. </w:t>
      </w:r>
      <w:r w:rsidR="000E66F2">
        <w:rPr>
          <w:szCs w:val="22"/>
        </w:rPr>
        <w:t xml:space="preserve">Gendergelijkheid is hiermee op strategisch niveau goed geïntegreerd, maar wordt </w:t>
      </w:r>
      <w:r>
        <w:rPr>
          <w:szCs w:val="22"/>
        </w:rPr>
        <w:t xml:space="preserve">op landenniveau </w:t>
      </w:r>
      <w:r w:rsidR="000E66F2">
        <w:rPr>
          <w:szCs w:val="22"/>
        </w:rPr>
        <w:t>niet overal gelijk toegep</w:t>
      </w:r>
      <w:r>
        <w:rPr>
          <w:szCs w:val="22"/>
        </w:rPr>
        <w:t>ast, zo stelt het MOPAN</w:t>
      </w:r>
      <w:r w:rsidR="007E4A02">
        <w:rPr>
          <w:szCs w:val="22"/>
        </w:rPr>
        <w:t>-</w:t>
      </w:r>
      <w:r>
        <w:rPr>
          <w:szCs w:val="22"/>
        </w:rPr>
        <w:t>rapport.</w:t>
      </w:r>
      <w:r w:rsidR="00ED6C2B">
        <w:rPr>
          <w:szCs w:val="22"/>
        </w:rPr>
        <w:t xml:space="preserve"> </w:t>
      </w:r>
    </w:p>
    <w:p w14:paraId="77B6B0F6" w14:textId="77777777" w:rsidR="00E8643A" w:rsidRDefault="00E8643A" w:rsidP="00641820">
      <w:pPr>
        <w:rPr>
          <w:szCs w:val="22"/>
        </w:rPr>
      </w:pPr>
    </w:p>
    <w:p w14:paraId="32FC0D49" w14:textId="0E188543" w:rsidR="008202BA" w:rsidRDefault="00326B88" w:rsidP="00641820">
      <w:pPr>
        <w:rPr>
          <w:szCs w:val="22"/>
        </w:rPr>
      </w:pPr>
      <w:r>
        <w:rPr>
          <w:szCs w:val="22"/>
        </w:rPr>
        <w:lastRenderedPageBreak/>
        <w:t>In de afgelopen twee jaar is er een beleidsevaluatie uitgevoerd door de MOPAN</w:t>
      </w:r>
      <w:r w:rsidR="006E6D7C">
        <w:rPr>
          <w:szCs w:val="22"/>
        </w:rPr>
        <w:t>.</w:t>
      </w:r>
      <w:r>
        <w:rPr>
          <w:szCs w:val="22"/>
        </w:rPr>
        <w:t xml:space="preserve"> </w:t>
      </w:r>
      <w:r w:rsidR="00C418F0">
        <w:rPr>
          <w:szCs w:val="22"/>
        </w:rPr>
        <w:t>In de bevindingen komt naar voren dat de ILO een relevante organisa</w:t>
      </w:r>
      <w:r w:rsidR="008202BA">
        <w:rPr>
          <w:szCs w:val="22"/>
        </w:rPr>
        <w:t>tie is die de hedendaagse uitda</w:t>
      </w:r>
      <w:r w:rsidR="00C418F0">
        <w:rPr>
          <w:szCs w:val="22"/>
        </w:rPr>
        <w:t xml:space="preserve">gingen </w:t>
      </w:r>
      <w:r w:rsidR="008F05F7">
        <w:rPr>
          <w:szCs w:val="22"/>
        </w:rPr>
        <w:t xml:space="preserve">op het gebied van arbeid en sociaal beleid </w:t>
      </w:r>
      <w:r w:rsidR="005606F3">
        <w:rPr>
          <w:szCs w:val="22"/>
        </w:rPr>
        <w:t>goed begrijpt en hier</w:t>
      </w:r>
      <w:r w:rsidR="00C418F0">
        <w:rPr>
          <w:szCs w:val="22"/>
        </w:rPr>
        <w:t>op inspeelt.</w:t>
      </w:r>
      <w:r w:rsidR="008202BA">
        <w:rPr>
          <w:szCs w:val="22"/>
        </w:rPr>
        <w:t xml:space="preserve"> De ILO richt zich naast het eigen kernmandaat ook steeds meer op capaciteit ontwikkelen om de internationale beleidsagenda te beïnvloeden. De evaluatie stelt dat er nog winst te behalen valt op een aantal kwesties, zoals efficiëntie, duurzaamheid, </w:t>
      </w:r>
      <w:r w:rsidR="00640FF1" w:rsidRPr="00642A29">
        <w:rPr>
          <w:i/>
          <w:szCs w:val="22"/>
        </w:rPr>
        <w:t>Results</w:t>
      </w:r>
      <w:r w:rsidR="007E4A02">
        <w:rPr>
          <w:i/>
          <w:szCs w:val="22"/>
        </w:rPr>
        <w:t xml:space="preserve"> </w:t>
      </w:r>
      <w:r w:rsidR="00640FF1" w:rsidRPr="00642A29">
        <w:rPr>
          <w:i/>
          <w:szCs w:val="22"/>
        </w:rPr>
        <w:t>Based Management</w:t>
      </w:r>
      <w:r w:rsidR="00640FF1">
        <w:rPr>
          <w:szCs w:val="22"/>
        </w:rPr>
        <w:t xml:space="preserve"> (</w:t>
      </w:r>
      <w:r w:rsidR="008202BA">
        <w:rPr>
          <w:szCs w:val="22"/>
        </w:rPr>
        <w:t>RBM</w:t>
      </w:r>
      <w:r w:rsidR="00640FF1">
        <w:rPr>
          <w:szCs w:val="22"/>
        </w:rPr>
        <w:t>)</w:t>
      </w:r>
      <w:r w:rsidR="008202BA">
        <w:rPr>
          <w:szCs w:val="22"/>
        </w:rPr>
        <w:t xml:space="preserve">, evaluatie en operationeel management van de organisatie. Hierover wordt in onderstaand hoofdstuk verder </w:t>
      </w:r>
      <w:r w:rsidR="006A10B3">
        <w:rPr>
          <w:szCs w:val="22"/>
        </w:rPr>
        <w:t>uitgeweid</w:t>
      </w:r>
      <w:r w:rsidR="008202BA">
        <w:rPr>
          <w:szCs w:val="22"/>
        </w:rPr>
        <w:t xml:space="preserve">. </w:t>
      </w:r>
    </w:p>
    <w:p w14:paraId="5DBD2392" w14:textId="77777777" w:rsidR="007F0923" w:rsidRDefault="007F0923" w:rsidP="00641820">
      <w:pPr>
        <w:rPr>
          <w:szCs w:val="22"/>
        </w:rPr>
      </w:pPr>
    </w:p>
    <w:p w14:paraId="3CCD495C" w14:textId="2BF55209" w:rsidR="00A908F9" w:rsidRDefault="006E555B" w:rsidP="009C7D08">
      <w:pPr>
        <w:pStyle w:val="Heading2"/>
        <w:tabs>
          <w:tab w:val="left" w:pos="-1162"/>
          <w:tab w:val="left" w:pos="0"/>
          <w:tab w:val="num" w:pos="1160"/>
        </w:tabs>
        <w:spacing w:line="240" w:lineRule="auto"/>
        <w:ind w:hanging="1162"/>
      </w:pPr>
      <w:bookmarkStart w:id="26" w:name="_Toc490833557"/>
      <w:r>
        <w:t>3</w:t>
      </w:r>
      <w:r w:rsidR="00F24A31">
        <w:t xml:space="preserve">.3 </w:t>
      </w:r>
      <w:r w:rsidR="00F24A31">
        <w:tab/>
      </w:r>
      <w:r w:rsidR="00D745A7">
        <w:t xml:space="preserve">Nederlandse </w:t>
      </w:r>
      <w:r w:rsidR="000304C1">
        <w:t>rol en invloed</w:t>
      </w:r>
      <w:bookmarkEnd w:id="26"/>
    </w:p>
    <w:p w14:paraId="00533D5D" w14:textId="1F3DD316" w:rsidR="00641820" w:rsidRDefault="00641820" w:rsidP="00641820">
      <w:r>
        <w:t>Het ministerie van Sociale Zekerheid en Werkgelegenheid</w:t>
      </w:r>
      <w:r w:rsidR="00FC1FA3">
        <w:t xml:space="preserve"> (SZW)</w:t>
      </w:r>
      <w:r>
        <w:t xml:space="preserve"> is beleidsinhoudelijk verantwoordelijk voor de Nederlandse inbreng in de ILO. Het ministerie van Buitenlandse Zaken</w:t>
      </w:r>
      <w:r w:rsidR="00FC1FA3">
        <w:t xml:space="preserve"> (BZ)</w:t>
      </w:r>
      <w:r>
        <w:t xml:space="preserve"> is leidend voor de inzet van financiële middelen voor activiteiten van de ILO op het gebied van ontwikkelingssamenwerking. Nederland coördineert zijn inz</w:t>
      </w:r>
      <w:r w:rsidR="002C6E17">
        <w:t>et in de ILO binnen drie</w:t>
      </w:r>
      <w:r w:rsidR="001D4805">
        <w:t xml:space="preserve"> </w:t>
      </w:r>
      <w:r w:rsidR="002C6E17">
        <w:t>fora: d</w:t>
      </w:r>
      <w:r>
        <w:t xml:space="preserve">e </w:t>
      </w:r>
      <w:r w:rsidRPr="00642A29">
        <w:rPr>
          <w:i/>
        </w:rPr>
        <w:t>Western European Group</w:t>
      </w:r>
      <w:r>
        <w:t xml:space="preserve"> (met name voor verkiezingen), de groep van </w:t>
      </w:r>
      <w:r w:rsidRPr="00642A29">
        <w:rPr>
          <w:i/>
        </w:rPr>
        <w:t>Industrialized Market Economy Countries</w:t>
      </w:r>
      <w:r w:rsidR="007E4A02">
        <w:t xml:space="preserve"> </w:t>
      </w:r>
      <w:r w:rsidR="00E75648">
        <w:t xml:space="preserve">(IMEC) </w:t>
      </w:r>
      <w:r>
        <w:t>(voor institutionele onderwerpen), en de EU (beleidskwesties).</w:t>
      </w:r>
      <w:r w:rsidR="00E345A0">
        <w:t xml:space="preserve"> </w:t>
      </w:r>
      <w:r w:rsidR="005403C1">
        <w:t>Nederland wa</w:t>
      </w:r>
      <w:r>
        <w:t>s plaatsvervangend lid van de Beheersraad van medio 2014 tot medio 2017</w:t>
      </w:r>
      <w:r w:rsidR="001D4805">
        <w:t xml:space="preserve"> en zal in 2023 weer plaatsvervangend lid worden</w:t>
      </w:r>
      <w:r>
        <w:t>.</w:t>
      </w:r>
      <w:r w:rsidR="00735C12">
        <w:t xml:space="preserve"> </w:t>
      </w:r>
      <w:r w:rsidRPr="00735C12">
        <w:t xml:space="preserve">Er zijn afspraken in de </w:t>
      </w:r>
      <w:r w:rsidRPr="00642A29">
        <w:rPr>
          <w:i/>
        </w:rPr>
        <w:t>Western European Group</w:t>
      </w:r>
      <w:r w:rsidRPr="00735C12">
        <w:t xml:space="preserve"> over lidmaatschapsroulatie tot 2035.</w:t>
      </w:r>
      <w:r>
        <w:t xml:space="preserve"> </w:t>
      </w:r>
      <w:r w:rsidR="001D4805">
        <w:t xml:space="preserve">Overigens betekent het aflopen van het huidige lidmaatschap niet dat Nederland minder invloed zal kunnen uitoefenen in de Beheersraad, aangezien de Nederlandse inbreng ook nu al in de regel via de IMEC en EU-groep verloopt. </w:t>
      </w:r>
      <w:r w:rsidR="005403C1" w:rsidRPr="005403C1">
        <w:t>Daarnaast is Nederland van 2017 tot 2020 verkozen tot lid van de Standards Review Mechanism Tripartite Working Group. Via deze werkgroep richt NL zich op het efficienter en innovatiever maken van de ILO door aan te sturen op geclusterde conventies, met daarbinnen verschillende opties om nationaal in te voeren als wet.</w:t>
      </w:r>
    </w:p>
    <w:p w14:paraId="6590CCB0" w14:textId="77777777" w:rsidR="00641820" w:rsidRDefault="00641820" w:rsidP="00641820"/>
    <w:p w14:paraId="38E92A34" w14:textId="642E67E1" w:rsidR="00641820" w:rsidRDefault="00641820" w:rsidP="00641820">
      <w:r>
        <w:t>Nederland heeft een vierjarig Partnerschapsprogramma met de ILO (van 2014-2017) en bespreekt de voortgang van dit programma jaarlijks in een beleidsdialoog met het management van de ILO.</w:t>
      </w:r>
      <w:r w:rsidR="0043236F">
        <w:t xml:space="preserve"> </w:t>
      </w:r>
      <w:r w:rsidR="00EC6A89">
        <w:t xml:space="preserve">In 2017 zal Nederland overwegen of, en hoe, dit Partnerschapsprogramma met de ILO verlengd kan </w:t>
      </w:r>
      <w:r w:rsidR="0043236F">
        <w:t>worden.</w:t>
      </w:r>
      <w:r>
        <w:t xml:space="preserve"> Daarnaast vindt er regelmatig een speciale donormeeting plaats, waar de ILO overlegt met een selecte groep van donoren van het </w:t>
      </w:r>
      <w:r w:rsidRPr="00642A29">
        <w:rPr>
          <w:i/>
        </w:rPr>
        <w:t>Regular Budget Supplementary Account</w:t>
      </w:r>
      <w:r>
        <w:t xml:space="preserve"> (RBSA), een ongeoormerkt flexibel fonds, waaraan Nederland ook bijdraagt. Als een van de grote donoren aan het RBSA heeft Nederland de gelegenheid om informeel te spreken met het senior management van de ILO, goed op de hoogte te blijven van de ontwikkelingen binnen de ILO en invloed uit te oefenen op hervormingen. </w:t>
      </w:r>
      <w:r w:rsidR="00646181">
        <w:t xml:space="preserve">Nederland </w:t>
      </w:r>
      <w:r w:rsidR="0043236F">
        <w:t xml:space="preserve">was verantwoordelijk om, namens de MOPAN-donorlanden, de MOPAN-evaluatie van de ILO te </w:t>
      </w:r>
      <w:r w:rsidR="001D4805">
        <w:t>begeleiden. Nederland is daarnaast verantwoordelijk voor de dialoog met de ILO over de opvolging die gegeven za</w:t>
      </w:r>
      <w:r w:rsidR="004958A1">
        <w:t>l worden aan de MOPAN-evaluatie</w:t>
      </w:r>
      <w:r w:rsidR="0043236F">
        <w:t>.</w:t>
      </w:r>
      <w:r w:rsidR="00ED6C2B">
        <w:t xml:space="preserve"> </w:t>
      </w:r>
      <w:r>
        <w:t xml:space="preserve">Nederland zit tevens in de Adviesraad van het </w:t>
      </w:r>
      <w:r w:rsidRPr="00642A29">
        <w:rPr>
          <w:i/>
        </w:rPr>
        <w:t>Better Work</w:t>
      </w:r>
      <w:r w:rsidR="007E4A02">
        <w:t>-</w:t>
      </w:r>
      <w:r>
        <w:t xml:space="preserve">programma. De Nederlandse vakbonden (FNV, CNV, VCP) en werkgevers (VNO-NCW) nemen </w:t>
      </w:r>
      <w:r w:rsidR="001D4805">
        <w:t xml:space="preserve">actief </w:t>
      </w:r>
      <w:r>
        <w:t>deel aan de ILO-bijeenkomsten. In de periode 2014-2017 is FNV regulier lid van de Beheersraad namens de werknemersorganisaties.</w:t>
      </w:r>
      <w:r w:rsidR="001D4805">
        <w:t xml:space="preserve"> Dit lidmaatschap zal in de komende termijn worden voortgezet, waarbij de Nederlandse werknemersvertegenwoordiger als woordvoerder van de werknemersgroep zal optreden.</w:t>
      </w:r>
      <w:r>
        <w:t xml:space="preserve"> VNO/NCW is</w:t>
      </w:r>
      <w:r w:rsidR="001D4805">
        <w:t xml:space="preserve"> op dit moment</w:t>
      </w:r>
      <w:r>
        <w:t xml:space="preserve"> plaatsvervangend lid</w:t>
      </w:r>
      <w:r w:rsidR="00C14D27">
        <w:t xml:space="preserve"> tot medio 2017</w:t>
      </w:r>
      <w:r>
        <w:t>.</w:t>
      </w:r>
      <w:r w:rsidR="00ED6C2B">
        <w:t xml:space="preserve"> </w:t>
      </w:r>
    </w:p>
    <w:p w14:paraId="63540378" w14:textId="77777777" w:rsidR="007F0923" w:rsidRDefault="007F0923" w:rsidP="00641820"/>
    <w:p w14:paraId="3E5BE2F2" w14:textId="568C1BA9" w:rsidR="00CB156F" w:rsidRPr="004D372F" w:rsidRDefault="006E555B" w:rsidP="009C7D08">
      <w:pPr>
        <w:pStyle w:val="Heading2"/>
        <w:tabs>
          <w:tab w:val="left" w:pos="-1162"/>
          <w:tab w:val="left" w:pos="0"/>
          <w:tab w:val="num" w:pos="1160"/>
        </w:tabs>
        <w:spacing w:line="240" w:lineRule="auto"/>
        <w:ind w:hanging="1162"/>
      </w:pPr>
      <w:bookmarkStart w:id="27" w:name="_Toc490833558"/>
      <w:r>
        <w:t>3</w:t>
      </w:r>
      <w:r w:rsidR="00F24A31">
        <w:t>.4</w:t>
      </w:r>
      <w:r w:rsidR="00F24A31">
        <w:tab/>
      </w:r>
      <w:r w:rsidR="00D745A7">
        <w:t>Financiële omvang en bijdragen</w:t>
      </w:r>
      <w:bookmarkEnd w:id="27"/>
    </w:p>
    <w:p w14:paraId="486D422E" w14:textId="2FFFC2B7" w:rsidR="00F935E0" w:rsidRPr="0063594B" w:rsidRDefault="00F935E0" w:rsidP="00F935E0">
      <w:pPr>
        <w:rPr>
          <w:sz w:val="20"/>
          <w:szCs w:val="20"/>
        </w:rPr>
      </w:pPr>
      <w:r>
        <w:t xml:space="preserve">Het huidige </w:t>
      </w:r>
      <w:r w:rsidRPr="00CB130B">
        <w:rPr>
          <w:i/>
        </w:rPr>
        <w:t>Programme and Budget</w:t>
      </w:r>
      <w:r>
        <w:rPr>
          <w:i/>
        </w:rPr>
        <w:t xml:space="preserve"> </w:t>
      </w:r>
      <w:r>
        <w:t xml:space="preserve">(P&amp;B) geldt voor de jaren 2016-2017. </w:t>
      </w:r>
      <w:r w:rsidRPr="00B50F31">
        <w:rPr>
          <w:rFonts w:cs="Calibri"/>
        </w:rPr>
        <w:t>Lidstaten dragen hieraan financieel bij via hun lidmaatschapscontributie</w:t>
      </w:r>
      <w:r>
        <w:rPr>
          <w:rFonts w:cs="Calibri"/>
        </w:rPr>
        <w:t>. W</w:t>
      </w:r>
      <w:r w:rsidRPr="00722D74">
        <w:rPr>
          <w:rFonts w:cs="Calibri"/>
        </w:rPr>
        <w:t>erkgevers</w:t>
      </w:r>
      <w:r>
        <w:rPr>
          <w:rFonts w:cs="Calibri"/>
        </w:rPr>
        <w:t>-</w:t>
      </w:r>
      <w:r w:rsidRPr="00722D74">
        <w:rPr>
          <w:rFonts w:cs="Calibri"/>
        </w:rPr>
        <w:t xml:space="preserve"> en </w:t>
      </w:r>
      <w:r w:rsidRPr="00722D74">
        <w:rPr>
          <w:rFonts w:cs="Calibri"/>
        </w:rPr>
        <w:lastRenderedPageBreak/>
        <w:t>werknemers</w:t>
      </w:r>
      <w:r>
        <w:rPr>
          <w:rFonts w:cs="Calibri"/>
        </w:rPr>
        <w:t xml:space="preserve">organisaties dragen niet financieel bij, maar besluiten wel mee over de besteding van het budget. Naast de verplichte contributie kunnen er vrijwillige bijdragen worden gegeven via het </w:t>
      </w:r>
      <w:r w:rsidRPr="00FD2E02">
        <w:rPr>
          <w:rFonts w:cs="Calibri"/>
          <w:i/>
        </w:rPr>
        <w:t>Extra-Budgetary Technical Cooperation</w:t>
      </w:r>
      <w:r>
        <w:rPr>
          <w:rFonts w:cs="Calibri"/>
        </w:rPr>
        <w:t xml:space="preserve"> (XBTC) budget,</w:t>
      </w:r>
      <w:r w:rsidR="00A8684C">
        <w:rPr>
          <w:rFonts w:cs="Calibri"/>
        </w:rPr>
        <w:t xml:space="preserve"> of via het ongeoormerkte RBSA. </w:t>
      </w:r>
      <w:r>
        <w:t>De begroting van de ILO voor het biennium van 2016-2017</w:t>
      </w:r>
      <w:r w:rsidR="00313E3B">
        <w:t xml:space="preserve"> bedraagt USD 797 miljoen</w:t>
      </w:r>
      <w:r>
        <w:t>.</w:t>
      </w:r>
      <w:r w:rsidR="00052910">
        <w:t xml:space="preserve"> </w:t>
      </w:r>
      <w:r w:rsidR="009D12C9">
        <w:t xml:space="preserve">Dit betekende een </w:t>
      </w:r>
      <w:r w:rsidR="009D12C9">
        <w:rPr>
          <w:i/>
        </w:rPr>
        <w:t>zero real growth</w:t>
      </w:r>
      <w:r w:rsidR="009D12C9">
        <w:t xml:space="preserve"> van het budget ten opzichte van het biennium 2015-2016, maar nominaal valt het iets lager uit dan het budget voor 2014-2015 (USD 797 miljoen versus USD 801 miljoen). </w:t>
      </w:r>
      <w:r>
        <w:t xml:space="preserve">De ILO werkt met een formele begroting in US-dollars, maar in de verdragscontributie in Zwitserse Franken. </w:t>
      </w:r>
      <w:r w:rsidRPr="0063594B">
        <w:t>De Nederlandse verplich</w:t>
      </w:r>
      <w:r w:rsidR="0003400A" w:rsidRPr="0063594B">
        <w:t>te lidmaatschapsbijdrage in 2016</w:t>
      </w:r>
      <w:r w:rsidRPr="0063594B">
        <w:t xml:space="preserve"> </w:t>
      </w:r>
      <w:r w:rsidR="00137060">
        <w:t>(</w:t>
      </w:r>
      <w:r w:rsidRPr="0063594B">
        <w:t xml:space="preserve">CHF </w:t>
      </w:r>
      <w:r w:rsidR="001133FC" w:rsidRPr="0063594B">
        <w:t>6,3</w:t>
      </w:r>
      <w:r w:rsidRPr="0063594B">
        <w:t xml:space="preserve"> miljoen) kwam in Euro’s neer op ongeveer EUR </w:t>
      </w:r>
      <w:r w:rsidR="001D70D8" w:rsidRPr="0063594B">
        <w:t>5,7</w:t>
      </w:r>
      <w:r w:rsidR="00ED6C2B">
        <w:t xml:space="preserve"> </w:t>
      </w:r>
      <w:r w:rsidRPr="0063594B">
        <w:t>miljoen.</w:t>
      </w:r>
      <w:r>
        <w:t xml:space="preserve"> Het percentage dat lidstaten aan het budget bijdragen wordt gebaseerd op de </w:t>
      </w:r>
      <w:r w:rsidRPr="00CC5651">
        <w:rPr>
          <w:i/>
        </w:rPr>
        <w:t>scale of assessments</w:t>
      </w:r>
      <w:r>
        <w:t xml:space="preserve"> die periodiek in de Algemene Vergadering van de VN wordt afgesproken.</w:t>
      </w:r>
    </w:p>
    <w:p w14:paraId="7927A509" w14:textId="77777777" w:rsidR="00F935E0" w:rsidRDefault="00F935E0" w:rsidP="00F935E0"/>
    <w:p w14:paraId="38AC7E3C" w14:textId="3D01C00B" w:rsidR="00041968" w:rsidRDefault="0098222A" w:rsidP="00F935E0">
      <w:r>
        <w:t>Tijdens</w:t>
      </w:r>
      <w:r w:rsidR="005E72D2">
        <w:t xml:space="preserve"> de ILC van juni 2017 zal het P&amp;B voor 2018-2019</w:t>
      </w:r>
      <w:r w:rsidR="00F935E0">
        <w:t xml:space="preserve"> aangenomen worden.</w:t>
      </w:r>
      <w:r w:rsidR="00BD0EBD">
        <w:t xml:space="preserve"> Dit betreft wederom een </w:t>
      </w:r>
      <w:r w:rsidR="00BD0EBD">
        <w:rPr>
          <w:i/>
        </w:rPr>
        <w:t xml:space="preserve">zero real growth </w:t>
      </w:r>
      <w:r w:rsidR="00BD0EBD">
        <w:t>budget.</w:t>
      </w:r>
      <w:r w:rsidR="004958A1">
        <w:t xml:space="preserve"> </w:t>
      </w:r>
      <w:r w:rsidR="00F935E0">
        <w:t xml:space="preserve">De hoogte </w:t>
      </w:r>
      <w:r w:rsidR="0003400A">
        <w:t>van dit voorgestelde budget 2018</w:t>
      </w:r>
      <w:r w:rsidR="00F935E0">
        <w:t>-20</w:t>
      </w:r>
      <w:r w:rsidR="0003400A">
        <w:t>19</w:t>
      </w:r>
      <w:r w:rsidR="00F935E0">
        <w:t xml:space="preserve"> valt (vooralsnog) nominaal iets la</w:t>
      </w:r>
      <w:r>
        <w:t xml:space="preserve">ger (0.5%) </w:t>
      </w:r>
      <w:r w:rsidR="004809AE">
        <w:t xml:space="preserve">uit dan het budget voor </w:t>
      </w:r>
      <w:r w:rsidR="0022047A">
        <w:t>2016-2017</w:t>
      </w:r>
      <w:r w:rsidR="00F935E0">
        <w:t xml:space="preserve">. </w:t>
      </w:r>
      <w:r>
        <w:t xml:space="preserve">Dit heeft vooral te maken met verwachte lagere kosten van de ILO. </w:t>
      </w:r>
      <w:r w:rsidR="0003400A">
        <w:t xml:space="preserve">De wisselkoers waarmee de contributie van de lidstaten wordt berekend wordt </w:t>
      </w:r>
      <w:r>
        <w:t>pas tijdens de ILC in juni 2017</w:t>
      </w:r>
      <w:r w:rsidR="0003400A">
        <w:t xml:space="preserve"> vastgesteld</w:t>
      </w:r>
      <w:r w:rsidR="00041968">
        <w:t>, maar het percentage dat Nederland zal moeten bijdragen aan het budget is door Beheersraad al wel vastgesteld, op 1,483%</w:t>
      </w:r>
      <w:r w:rsidR="0003400A">
        <w:t xml:space="preserve">. </w:t>
      </w:r>
      <w:r w:rsidR="00041968">
        <w:t xml:space="preserve">De exacte bijdrage van Nederland zal afhangen van de in juni 2017 geldende wisselkoers tussen de US Dollar en de Zwitserse Frank. </w:t>
      </w:r>
    </w:p>
    <w:p w14:paraId="244CFB10" w14:textId="77777777" w:rsidR="00F935E0" w:rsidRDefault="00F935E0" w:rsidP="00F935E0"/>
    <w:p w14:paraId="48351868" w14:textId="2FE36119" w:rsidR="00F935E0" w:rsidRPr="005E72D2" w:rsidRDefault="00F935E0" w:rsidP="00F935E0">
      <w:pPr>
        <w:rPr>
          <w:rFonts w:cs="Calibri"/>
        </w:rPr>
      </w:pPr>
      <w:r w:rsidRPr="00A07E61">
        <w:t xml:space="preserve">Nederland is een belangrijke donor van de ILO. </w:t>
      </w:r>
      <w:r>
        <w:t>Via he</w:t>
      </w:r>
      <w:r w:rsidRPr="00B50F31">
        <w:t>t meerjarig partnerschaps</w:t>
      </w:r>
      <w:r>
        <w:t>-</w:t>
      </w:r>
      <w:r w:rsidR="00F329A9">
        <w:t>programma g</w:t>
      </w:r>
      <w:r w:rsidR="00301631">
        <w:t>eeft</w:t>
      </w:r>
      <w:r w:rsidR="00F329A9">
        <w:t xml:space="preserve"> Nederland</w:t>
      </w:r>
      <w:r w:rsidR="00ED6C2B">
        <w:t xml:space="preserve"> </w:t>
      </w:r>
      <w:r w:rsidRPr="00B50F31">
        <w:t>een ongeoormerkte vrijwillige bijdrage van EUR 2,5 miljoen per jaar als aanvulling op de algemene middelen (via het RBSA).</w:t>
      </w:r>
      <w:r>
        <w:t xml:space="preserve"> </w:t>
      </w:r>
      <w:r w:rsidRPr="00FA6E34">
        <w:rPr>
          <w:rFonts w:cs="Calibri"/>
        </w:rPr>
        <w:t xml:space="preserve">Het RBSA wordt vooral ingezet in de minst ontwikkelde landen en dient als </w:t>
      </w:r>
      <w:r>
        <w:rPr>
          <w:rFonts w:cs="Calibri"/>
        </w:rPr>
        <w:t xml:space="preserve">een initiële financiële bijdrage </w:t>
      </w:r>
      <w:r w:rsidRPr="00FA6E34">
        <w:rPr>
          <w:rFonts w:cs="Calibri"/>
        </w:rPr>
        <w:t xml:space="preserve">voor opkomende kwesties en </w:t>
      </w:r>
      <w:r>
        <w:rPr>
          <w:rFonts w:cs="Calibri"/>
        </w:rPr>
        <w:t xml:space="preserve">als </w:t>
      </w:r>
      <w:r w:rsidRPr="005422E9">
        <w:rPr>
          <w:rFonts w:cs="Calibri"/>
          <w:i/>
        </w:rPr>
        <w:t>leverage</w:t>
      </w:r>
      <w:r>
        <w:rPr>
          <w:rFonts w:cs="Calibri"/>
        </w:rPr>
        <w:t xml:space="preserve"> om additionele bijdragen te genereren</w:t>
      </w:r>
      <w:r w:rsidRPr="00FA6E34">
        <w:rPr>
          <w:rFonts w:cs="Calibri"/>
        </w:rPr>
        <w:t>. Ongeoormerkte bijdragen zijn van belang voor de effectiviteit en wendbaarheid van organisaties als de ILO. Dankzij het RBSA kan de ILO naar eigen inzicht bijspringen als zich een dringende situatie voordoet.</w:t>
      </w:r>
      <w:r>
        <w:rPr>
          <w:rFonts w:cs="Calibri"/>
        </w:rPr>
        <w:t xml:space="preserve"> </w:t>
      </w:r>
      <w:r w:rsidRPr="005422E9">
        <w:rPr>
          <w:rFonts w:cs="Calibri"/>
        </w:rPr>
        <w:t xml:space="preserve">Met behulp van RBSA heeft de ILO bijvoorbeeld </w:t>
      </w:r>
      <w:r w:rsidR="005E72D2">
        <w:rPr>
          <w:rFonts w:cs="Calibri"/>
        </w:rPr>
        <w:t>de overheid van Jordanië kunnen steunen</w:t>
      </w:r>
      <w:r w:rsidR="00BD3130">
        <w:rPr>
          <w:rFonts w:cs="Calibri"/>
        </w:rPr>
        <w:t xml:space="preserve"> met de respons op de instroom van vluchtelingen uit Syrië en de gevolgen daarvan voor de lokale arbeidsmarkt</w:t>
      </w:r>
      <w:r w:rsidR="00A8684C">
        <w:rPr>
          <w:rFonts w:cs="Calibri"/>
        </w:rPr>
        <w:t>.</w:t>
      </w:r>
      <w:r w:rsidR="005E72D2" w:rsidRPr="00B50F31">
        <w:t xml:space="preserve"> </w:t>
      </w:r>
      <w:r w:rsidRPr="00B50F31">
        <w:t xml:space="preserve">Ook geeft Nederland jaarlijks een geoormerkte bijdrage van EUR 2,5 miljoen voor het </w:t>
      </w:r>
      <w:r w:rsidRPr="00366F8B">
        <w:rPr>
          <w:i/>
        </w:rPr>
        <w:t>Better Work</w:t>
      </w:r>
      <w:r w:rsidR="00137060">
        <w:rPr>
          <w:i/>
        </w:rPr>
        <w:t>-</w:t>
      </w:r>
      <w:r w:rsidRPr="00B50F31">
        <w:t>programma</w:t>
      </w:r>
      <w:r>
        <w:t xml:space="preserve"> </w:t>
      </w:r>
      <w:r w:rsidRPr="00FA6E34">
        <w:rPr>
          <w:rFonts w:cs="Calibri"/>
        </w:rPr>
        <w:t>van de ILO en</w:t>
      </w:r>
      <w:r w:rsidR="00642A29">
        <w:rPr>
          <w:rFonts w:cs="Calibri"/>
        </w:rPr>
        <w:t xml:space="preserve"> het </w:t>
      </w:r>
      <w:r w:rsidR="00642A29">
        <w:rPr>
          <w:rFonts w:cs="Calibri"/>
          <w:i/>
        </w:rPr>
        <w:t>International Finance Corporation</w:t>
      </w:r>
      <w:r w:rsidRPr="00FA6E34">
        <w:rPr>
          <w:rFonts w:cs="Calibri"/>
        </w:rPr>
        <w:t xml:space="preserve"> </w:t>
      </w:r>
      <w:r w:rsidR="00642A29">
        <w:rPr>
          <w:rFonts w:cs="Calibri"/>
        </w:rPr>
        <w:t>(</w:t>
      </w:r>
      <w:r>
        <w:rPr>
          <w:rFonts w:cs="Calibri"/>
        </w:rPr>
        <w:t>IFC</w:t>
      </w:r>
      <w:r w:rsidR="00642A29">
        <w:rPr>
          <w:rFonts w:cs="Calibri"/>
        </w:rPr>
        <w:t>)</w:t>
      </w:r>
      <w:r>
        <w:rPr>
          <w:rFonts w:cs="Calibri"/>
        </w:rPr>
        <w:t xml:space="preserve">. Het </w:t>
      </w:r>
      <w:r w:rsidRPr="00366F8B">
        <w:rPr>
          <w:rFonts w:cs="Calibri"/>
          <w:i/>
        </w:rPr>
        <w:t>Better Work</w:t>
      </w:r>
      <w:r w:rsidR="00137060">
        <w:rPr>
          <w:rFonts w:cs="Calibri"/>
        </w:rPr>
        <w:t>-</w:t>
      </w:r>
      <w:r w:rsidRPr="00FA6E34">
        <w:rPr>
          <w:rFonts w:cs="Calibri"/>
        </w:rPr>
        <w:t>programma</w:t>
      </w:r>
      <w:r>
        <w:rPr>
          <w:rFonts w:cs="Calibri"/>
        </w:rPr>
        <w:t xml:space="preserve"> </w:t>
      </w:r>
      <w:r w:rsidRPr="00FA6E34">
        <w:rPr>
          <w:rFonts w:cs="Calibri"/>
        </w:rPr>
        <w:t xml:space="preserve">is gericht op het verbeteren van de werkomstandigheden in </w:t>
      </w:r>
      <w:r>
        <w:rPr>
          <w:rFonts w:cs="Calibri"/>
        </w:rPr>
        <w:t xml:space="preserve">o.a. </w:t>
      </w:r>
      <w:r w:rsidRPr="00FA6E34">
        <w:rPr>
          <w:rFonts w:cs="Calibri"/>
        </w:rPr>
        <w:t>de textielsector in Cambodja, Haïti, Indonesië, Jordanië, Lesotho, Nicaragua, Vietnam en Bangladesh.</w:t>
      </w:r>
    </w:p>
    <w:p w14:paraId="31E3EFBF" w14:textId="77777777" w:rsidR="00F935E0" w:rsidRDefault="00F935E0" w:rsidP="00F935E0"/>
    <w:p w14:paraId="0E298B46" w14:textId="77777777" w:rsidR="00F935E0" w:rsidRPr="00543B42" w:rsidRDefault="00F935E0" w:rsidP="00F935E0">
      <w:pPr>
        <w:spacing w:line="240" w:lineRule="auto"/>
        <w:rPr>
          <w:szCs w:val="18"/>
        </w:rPr>
      </w:pPr>
      <w:r w:rsidRPr="00543B42">
        <w:rPr>
          <w:szCs w:val="18"/>
        </w:rPr>
        <w:t xml:space="preserve">Nederland draagt bij aan specifieke projecten van/in relatie tot de ILO, waaronder: </w:t>
      </w:r>
    </w:p>
    <w:p w14:paraId="2FEDBC88" w14:textId="77777777" w:rsidR="00F935E0" w:rsidRPr="00543B42" w:rsidRDefault="004D0F47" w:rsidP="00F935E0">
      <w:pPr>
        <w:pStyle w:val="ListParagraph"/>
        <w:numPr>
          <w:ilvl w:val="1"/>
          <w:numId w:val="15"/>
        </w:numPr>
        <w:spacing w:after="0" w:line="240" w:lineRule="auto"/>
        <w:rPr>
          <w:rFonts w:ascii="Verdana" w:hAnsi="Verdana"/>
          <w:sz w:val="18"/>
          <w:szCs w:val="18"/>
        </w:rPr>
      </w:pPr>
      <w:r w:rsidRPr="00543B42">
        <w:rPr>
          <w:rFonts w:ascii="Verdana" w:hAnsi="Verdana"/>
          <w:sz w:val="18"/>
          <w:szCs w:val="18"/>
        </w:rPr>
        <w:t>h</w:t>
      </w:r>
      <w:r w:rsidR="00F935E0" w:rsidRPr="00543B42">
        <w:rPr>
          <w:rFonts w:ascii="Verdana" w:hAnsi="Verdana"/>
          <w:sz w:val="18"/>
          <w:szCs w:val="18"/>
        </w:rPr>
        <w:t xml:space="preserve">et bevorderen van arbeidsomstandigheden in Bangladesh; </w:t>
      </w:r>
    </w:p>
    <w:p w14:paraId="4F686B77" w14:textId="77777777" w:rsidR="00543B42" w:rsidRPr="00543B42" w:rsidRDefault="00F935E0" w:rsidP="00543B42">
      <w:pPr>
        <w:pStyle w:val="ListParagraph"/>
        <w:numPr>
          <w:ilvl w:val="1"/>
          <w:numId w:val="15"/>
        </w:numPr>
        <w:spacing w:after="0" w:line="240" w:lineRule="auto"/>
        <w:rPr>
          <w:rFonts w:ascii="Verdana" w:hAnsi="Verdana"/>
          <w:sz w:val="18"/>
          <w:szCs w:val="18"/>
        </w:rPr>
      </w:pPr>
      <w:r w:rsidRPr="00543B42">
        <w:rPr>
          <w:rFonts w:ascii="Verdana" w:hAnsi="Verdana"/>
          <w:sz w:val="18"/>
          <w:szCs w:val="18"/>
        </w:rPr>
        <w:t>het versterken van arbeids</w:t>
      </w:r>
      <w:r w:rsidR="0068495E" w:rsidRPr="00543B42">
        <w:rPr>
          <w:rFonts w:ascii="Verdana" w:hAnsi="Verdana"/>
          <w:sz w:val="18"/>
          <w:szCs w:val="18"/>
        </w:rPr>
        <w:t>inspecties in Vietnam en Pakistan</w:t>
      </w:r>
      <w:r w:rsidRPr="00543B42">
        <w:rPr>
          <w:rFonts w:ascii="Verdana" w:hAnsi="Verdana"/>
          <w:sz w:val="18"/>
          <w:szCs w:val="18"/>
        </w:rPr>
        <w:t>;</w:t>
      </w:r>
    </w:p>
    <w:p w14:paraId="0F6C364D" w14:textId="1D2EDC6C" w:rsidR="00543B42" w:rsidRPr="00543B42" w:rsidRDefault="00A8684C" w:rsidP="00F935E0">
      <w:pPr>
        <w:pStyle w:val="ListParagraph"/>
        <w:numPr>
          <w:ilvl w:val="1"/>
          <w:numId w:val="15"/>
        </w:numPr>
        <w:spacing w:after="0" w:line="240" w:lineRule="auto"/>
        <w:rPr>
          <w:rFonts w:ascii="Verdana" w:hAnsi="Verdana"/>
          <w:sz w:val="18"/>
          <w:szCs w:val="18"/>
        </w:rPr>
      </w:pPr>
      <w:r>
        <w:rPr>
          <w:rFonts w:ascii="Verdana" w:hAnsi="Verdana"/>
          <w:sz w:val="18"/>
          <w:szCs w:val="18"/>
        </w:rPr>
        <w:t>onderzoek</w:t>
      </w:r>
      <w:r w:rsidR="00543B42" w:rsidRPr="00543B42">
        <w:rPr>
          <w:rFonts w:ascii="Verdana" w:hAnsi="Verdana"/>
          <w:sz w:val="18"/>
          <w:szCs w:val="18"/>
        </w:rPr>
        <w:t xml:space="preserve"> naar kinderarbeid in waardeketens (ter voorbereiding op wereldwijde </w:t>
      </w:r>
      <w:r w:rsidR="006A10B3" w:rsidRPr="00543B42">
        <w:rPr>
          <w:rFonts w:ascii="Verdana" w:hAnsi="Verdana"/>
          <w:sz w:val="18"/>
          <w:szCs w:val="18"/>
        </w:rPr>
        <w:t>kinderarbeid conferentie</w:t>
      </w:r>
      <w:r w:rsidR="00543B42" w:rsidRPr="00543B42">
        <w:rPr>
          <w:rFonts w:ascii="Verdana" w:hAnsi="Verdana"/>
          <w:sz w:val="18"/>
          <w:szCs w:val="18"/>
        </w:rPr>
        <w:t xml:space="preserve"> in Buenos Aires in november 2017);</w:t>
      </w:r>
    </w:p>
    <w:p w14:paraId="3456F5DF" w14:textId="77777777" w:rsidR="00F935E0" w:rsidRPr="00543B42" w:rsidRDefault="00F935E0" w:rsidP="00F935E0">
      <w:pPr>
        <w:pStyle w:val="ListParagraph"/>
        <w:numPr>
          <w:ilvl w:val="1"/>
          <w:numId w:val="15"/>
        </w:numPr>
        <w:spacing w:after="0" w:line="240" w:lineRule="auto"/>
        <w:rPr>
          <w:rFonts w:ascii="Verdana" w:hAnsi="Verdana"/>
          <w:sz w:val="18"/>
          <w:szCs w:val="18"/>
        </w:rPr>
      </w:pPr>
      <w:r w:rsidRPr="00543B42">
        <w:rPr>
          <w:rFonts w:ascii="Verdana" w:hAnsi="Verdana"/>
          <w:sz w:val="18"/>
          <w:szCs w:val="18"/>
        </w:rPr>
        <w:t>het bestrijden van kinderarbeid bij het plukken van hazelnoten in Turkije;</w:t>
      </w:r>
    </w:p>
    <w:p w14:paraId="63BC3BE6" w14:textId="77777777" w:rsidR="0068495E" w:rsidRPr="00543B42" w:rsidRDefault="0068495E" w:rsidP="00F935E0">
      <w:pPr>
        <w:pStyle w:val="ListParagraph"/>
        <w:numPr>
          <w:ilvl w:val="1"/>
          <w:numId w:val="15"/>
        </w:numPr>
        <w:spacing w:after="0" w:line="240" w:lineRule="auto"/>
        <w:rPr>
          <w:rFonts w:ascii="Verdana" w:hAnsi="Verdana"/>
          <w:sz w:val="18"/>
          <w:szCs w:val="18"/>
        </w:rPr>
      </w:pPr>
      <w:r w:rsidRPr="00543B42">
        <w:rPr>
          <w:rFonts w:ascii="Verdana" w:hAnsi="Verdana"/>
          <w:sz w:val="18"/>
          <w:szCs w:val="18"/>
        </w:rPr>
        <w:t>het bevorderen van bewustzijn over dwangarbeid in Myanmar;</w:t>
      </w:r>
    </w:p>
    <w:p w14:paraId="5279AE1E" w14:textId="77777777" w:rsidR="00F935E0" w:rsidRPr="00543B42" w:rsidRDefault="00F935E0" w:rsidP="00F935E0">
      <w:pPr>
        <w:pStyle w:val="ListParagraph"/>
        <w:numPr>
          <w:ilvl w:val="1"/>
          <w:numId w:val="15"/>
        </w:numPr>
        <w:spacing w:after="0" w:line="240" w:lineRule="auto"/>
        <w:rPr>
          <w:rFonts w:ascii="Verdana" w:hAnsi="Verdana"/>
          <w:sz w:val="18"/>
          <w:szCs w:val="18"/>
        </w:rPr>
      </w:pPr>
      <w:r w:rsidRPr="00543B42">
        <w:rPr>
          <w:rFonts w:ascii="Verdana" w:hAnsi="Verdana"/>
          <w:sz w:val="18"/>
          <w:szCs w:val="18"/>
        </w:rPr>
        <w:t>het bevorderen van werkgelegenheid voor jongeren in Tunesië;</w:t>
      </w:r>
    </w:p>
    <w:p w14:paraId="6F2FB270" w14:textId="77777777" w:rsidR="00F935E0" w:rsidRPr="00543B42" w:rsidRDefault="00F935E0" w:rsidP="00F935E0">
      <w:pPr>
        <w:pStyle w:val="ListParagraph"/>
        <w:numPr>
          <w:ilvl w:val="1"/>
          <w:numId w:val="15"/>
        </w:numPr>
        <w:spacing w:after="0" w:line="240" w:lineRule="auto"/>
        <w:rPr>
          <w:rFonts w:ascii="Verdana" w:hAnsi="Verdana"/>
          <w:sz w:val="18"/>
          <w:szCs w:val="18"/>
        </w:rPr>
      </w:pPr>
      <w:r w:rsidRPr="00543B42">
        <w:rPr>
          <w:rFonts w:ascii="Verdana" w:hAnsi="Verdana"/>
          <w:sz w:val="18"/>
          <w:szCs w:val="18"/>
        </w:rPr>
        <w:t>het versterken van beroepsonderwijs in Jordanië;</w:t>
      </w:r>
    </w:p>
    <w:p w14:paraId="590E9A30" w14:textId="77777777" w:rsidR="004D0F47" w:rsidRPr="00543B42" w:rsidRDefault="004D0F47" w:rsidP="00F935E0">
      <w:pPr>
        <w:pStyle w:val="ListParagraph"/>
        <w:numPr>
          <w:ilvl w:val="1"/>
          <w:numId w:val="15"/>
        </w:numPr>
        <w:spacing w:after="0" w:line="240" w:lineRule="auto"/>
        <w:rPr>
          <w:rFonts w:ascii="Verdana" w:hAnsi="Verdana"/>
          <w:sz w:val="18"/>
          <w:szCs w:val="18"/>
        </w:rPr>
      </w:pPr>
      <w:r w:rsidRPr="00543B42">
        <w:rPr>
          <w:rFonts w:ascii="Verdana" w:hAnsi="Verdana"/>
          <w:sz w:val="18"/>
          <w:szCs w:val="18"/>
        </w:rPr>
        <w:t>het bevorderen van gendergelijkheid op de werkvloer in Egypte;</w:t>
      </w:r>
    </w:p>
    <w:p w14:paraId="65098E0C" w14:textId="77777777" w:rsidR="004D0F47" w:rsidRPr="00543B42" w:rsidRDefault="004D0F47" w:rsidP="00F935E0">
      <w:pPr>
        <w:pStyle w:val="ListParagraph"/>
        <w:numPr>
          <w:ilvl w:val="1"/>
          <w:numId w:val="15"/>
        </w:numPr>
        <w:spacing w:after="0" w:line="240" w:lineRule="auto"/>
        <w:rPr>
          <w:rFonts w:ascii="Verdana" w:hAnsi="Verdana"/>
          <w:sz w:val="18"/>
          <w:szCs w:val="18"/>
        </w:rPr>
      </w:pPr>
      <w:r w:rsidRPr="00543B42">
        <w:rPr>
          <w:rFonts w:ascii="Verdana" w:hAnsi="Verdana"/>
          <w:sz w:val="18"/>
          <w:szCs w:val="18"/>
        </w:rPr>
        <w:t>het bevorderen van arbeidsomstandigheden op palmolie plantages in Indonesië;</w:t>
      </w:r>
    </w:p>
    <w:p w14:paraId="7B9A29FD" w14:textId="77777777" w:rsidR="0068495E" w:rsidRPr="00543B42" w:rsidRDefault="0068495E" w:rsidP="00F935E0">
      <w:pPr>
        <w:pStyle w:val="ListParagraph"/>
        <w:numPr>
          <w:ilvl w:val="1"/>
          <w:numId w:val="15"/>
        </w:numPr>
        <w:spacing w:after="0" w:line="240" w:lineRule="auto"/>
        <w:rPr>
          <w:rFonts w:ascii="Verdana" w:hAnsi="Verdana"/>
          <w:sz w:val="18"/>
          <w:szCs w:val="18"/>
        </w:rPr>
      </w:pPr>
      <w:r w:rsidRPr="00543B42">
        <w:rPr>
          <w:rFonts w:ascii="Verdana" w:hAnsi="Verdana"/>
          <w:sz w:val="18"/>
          <w:szCs w:val="18"/>
        </w:rPr>
        <w:t>het</w:t>
      </w:r>
      <w:r w:rsidR="00A8684C">
        <w:rPr>
          <w:rFonts w:ascii="Verdana" w:hAnsi="Verdana"/>
          <w:sz w:val="18"/>
          <w:szCs w:val="18"/>
        </w:rPr>
        <w:t xml:space="preserve"> bevorderen van fatsoenlijk werk in </w:t>
      </w:r>
      <w:r w:rsidR="00C17758">
        <w:rPr>
          <w:rFonts w:ascii="Verdana" w:hAnsi="Verdana"/>
          <w:sz w:val="18"/>
          <w:szCs w:val="18"/>
        </w:rPr>
        <w:t xml:space="preserve">mondiale </w:t>
      </w:r>
      <w:r w:rsidR="00A8684C">
        <w:rPr>
          <w:rFonts w:ascii="Verdana" w:hAnsi="Verdana"/>
          <w:sz w:val="18"/>
          <w:szCs w:val="18"/>
        </w:rPr>
        <w:t>waardeketens, door het</w:t>
      </w:r>
      <w:r w:rsidRPr="00543B42">
        <w:rPr>
          <w:rFonts w:ascii="Verdana" w:hAnsi="Verdana"/>
          <w:sz w:val="18"/>
          <w:szCs w:val="18"/>
        </w:rPr>
        <w:t xml:space="preserve"> in kaart brengen van</w:t>
      </w:r>
      <w:r w:rsidR="004D0F47" w:rsidRPr="00543B42">
        <w:rPr>
          <w:rFonts w:ascii="Verdana" w:hAnsi="Verdana"/>
          <w:sz w:val="18"/>
          <w:szCs w:val="18"/>
        </w:rPr>
        <w:t xml:space="preserve"> </w:t>
      </w:r>
      <w:r w:rsidR="004D0F47" w:rsidRPr="00543B42">
        <w:rPr>
          <w:rFonts w:ascii="Verdana" w:hAnsi="Verdana"/>
          <w:i/>
          <w:sz w:val="18"/>
          <w:szCs w:val="18"/>
        </w:rPr>
        <w:t>best practices</w:t>
      </w:r>
      <w:r w:rsidR="00A8684C">
        <w:rPr>
          <w:rFonts w:ascii="Verdana" w:hAnsi="Verdana"/>
          <w:sz w:val="18"/>
          <w:szCs w:val="18"/>
        </w:rPr>
        <w:t xml:space="preserve"> bij</w:t>
      </w:r>
      <w:r w:rsidR="004D0F47" w:rsidRPr="00543B42">
        <w:rPr>
          <w:rFonts w:ascii="Verdana" w:hAnsi="Verdana"/>
          <w:sz w:val="18"/>
          <w:szCs w:val="18"/>
        </w:rPr>
        <w:t xml:space="preserve"> </w:t>
      </w:r>
      <w:r w:rsidRPr="00543B42">
        <w:rPr>
          <w:rFonts w:ascii="Verdana" w:hAnsi="Verdana"/>
          <w:sz w:val="18"/>
          <w:szCs w:val="18"/>
        </w:rPr>
        <w:t>grensoverschrijdende</w:t>
      </w:r>
      <w:r w:rsidR="004D0F47" w:rsidRPr="00543B42">
        <w:rPr>
          <w:rFonts w:ascii="Verdana" w:hAnsi="Verdana"/>
          <w:sz w:val="18"/>
          <w:szCs w:val="18"/>
        </w:rPr>
        <w:t xml:space="preserve"> sociale dialogen;</w:t>
      </w:r>
    </w:p>
    <w:p w14:paraId="5628856F" w14:textId="77777777" w:rsidR="004D0F47" w:rsidRPr="00543B42" w:rsidRDefault="00486C2F" w:rsidP="00F935E0">
      <w:pPr>
        <w:pStyle w:val="ListParagraph"/>
        <w:numPr>
          <w:ilvl w:val="1"/>
          <w:numId w:val="15"/>
        </w:numPr>
        <w:spacing w:after="0" w:line="240" w:lineRule="auto"/>
        <w:rPr>
          <w:rFonts w:ascii="Verdana" w:hAnsi="Verdana"/>
          <w:sz w:val="18"/>
          <w:szCs w:val="18"/>
        </w:rPr>
      </w:pPr>
      <w:r>
        <w:rPr>
          <w:rFonts w:ascii="Verdana" w:hAnsi="Verdana"/>
          <w:sz w:val="18"/>
          <w:szCs w:val="18"/>
        </w:rPr>
        <w:t>het bevorderen van het arbeidsrecht</w:t>
      </w:r>
      <w:r w:rsidR="003C72C7" w:rsidRPr="00543B42">
        <w:rPr>
          <w:rFonts w:ascii="Verdana" w:hAnsi="Verdana"/>
          <w:sz w:val="18"/>
          <w:szCs w:val="18"/>
        </w:rPr>
        <w:t xml:space="preserve"> in</w:t>
      </w:r>
      <w:r w:rsidR="004D0F47" w:rsidRPr="00543B42">
        <w:rPr>
          <w:rFonts w:ascii="Verdana" w:hAnsi="Verdana"/>
          <w:sz w:val="18"/>
          <w:szCs w:val="18"/>
        </w:rPr>
        <w:t xml:space="preserve"> Myanmar</w:t>
      </w:r>
      <w:r w:rsidR="003C72C7" w:rsidRPr="00543B42">
        <w:rPr>
          <w:rFonts w:ascii="Verdana" w:hAnsi="Verdana"/>
          <w:sz w:val="18"/>
          <w:szCs w:val="18"/>
        </w:rPr>
        <w:t>.</w:t>
      </w:r>
    </w:p>
    <w:p w14:paraId="18038193" w14:textId="77777777" w:rsidR="00E75648" w:rsidRDefault="00E75648" w:rsidP="00E75648"/>
    <w:p w14:paraId="709EA245" w14:textId="77777777" w:rsidR="00CA2A15" w:rsidRDefault="00CA2A15" w:rsidP="00CA2A15">
      <w:pPr>
        <w:spacing w:line="240" w:lineRule="auto"/>
      </w:pPr>
    </w:p>
    <w:p w14:paraId="69192C65" w14:textId="77777777" w:rsidR="00CA2A15" w:rsidRDefault="00CA2A15" w:rsidP="00CA2A15">
      <w:pPr>
        <w:spacing w:line="240" w:lineRule="auto"/>
      </w:pPr>
    </w:p>
    <w:p w14:paraId="0D83D648" w14:textId="77777777" w:rsidR="00CA2A15" w:rsidRDefault="00CA2A15" w:rsidP="00CA2A15">
      <w:pPr>
        <w:spacing w:line="240" w:lineRule="auto"/>
      </w:pPr>
    </w:p>
    <w:p w14:paraId="48DFA937" w14:textId="5E96985A" w:rsidR="00CA2A15" w:rsidRDefault="00CA2A15" w:rsidP="00CA2A15">
      <w:pPr>
        <w:spacing w:line="240" w:lineRule="auto"/>
      </w:pPr>
    </w:p>
    <w:p w14:paraId="3895EF01" w14:textId="77777777" w:rsidR="00CA2A15" w:rsidRDefault="00CA2A15" w:rsidP="00CA2A15">
      <w:pPr>
        <w:spacing w:line="240" w:lineRule="auto"/>
      </w:pPr>
    </w:p>
    <w:p w14:paraId="738ACB84" w14:textId="543BA8DD" w:rsidR="00E75648" w:rsidRDefault="00E75648" w:rsidP="00CA2A15">
      <w:pPr>
        <w:spacing w:line="240" w:lineRule="auto"/>
      </w:pPr>
      <w:r>
        <w:t>Financieel Overzicht (bedragen in USD miljoen)</w:t>
      </w:r>
    </w:p>
    <w:p w14:paraId="0FCA048C" w14:textId="77777777" w:rsidR="00255306" w:rsidRDefault="00255306" w:rsidP="00CA2A15">
      <w:pPr>
        <w:spacing w:line="240" w:lineRule="auto"/>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209"/>
        <w:gridCol w:w="1209"/>
        <w:gridCol w:w="1243"/>
        <w:gridCol w:w="1710"/>
        <w:gridCol w:w="1045"/>
        <w:gridCol w:w="1281"/>
      </w:tblGrid>
      <w:tr w:rsidR="00E75648" w14:paraId="0286FDFF" w14:textId="77777777" w:rsidTr="006E3770">
        <w:tc>
          <w:tcPr>
            <w:tcW w:w="793" w:type="pct"/>
            <w:tcBorders>
              <w:top w:val="single" w:sz="12" w:space="0" w:color="auto"/>
              <w:bottom w:val="single" w:sz="6" w:space="0" w:color="auto"/>
            </w:tcBorders>
            <w:shd w:val="clear" w:color="auto" w:fill="D9D9D9" w:themeFill="background1" w:themeFillShade="D9"/>
          </w:tcPr>
          <w:p w14:paraId="2EAE6B49" w14:textId="77777777" w:rsidR="00E75648" w:rsidRDefault="00E75648" w:rsidP="009C7D08"/>
        </w:tc>
        <w:tc>
          <w:tcPr>
            <w:tcW w:w="3412" w:type="pct"/>
            <w:gridSpan w:val="4"/>
            <w:tcBorders>
              <w:top w:val="single" w:sz="12" w:space="0" w:color="auto"/>
              <w:bottom w:val="single" w:sz="6" w:space="0" w:color="auto"/>
            </w:tcBorders>
            <w:shd w:val="clear" w:color="auto" w:fill="D9D9D9" w:themeFill="background1" w:themeFillShade="D9"/>
            <w:hideMark/>
          </w:tcPr>
          <w:p w14:paraId="74568B62" w14:textId="77777777" w:rsidR="00E75648" w:rsidRDefault="00E75648" w:rsidP="009C7D08">
            <w:pPr>
              <w:jc w:val="center"/>
              <w:rPr>
                <w:b/>
              </w:rPr>
            </w:pPr>
            <w:r>
              <w:rPr>
                <w:b/>
              </w:rPr>
              <w:t>Inkomsten</w:t>
            </w:r>
          </w:p>
        </w:tc>
        <w:tc>
          <w:tcPr>
            <w:tcW w:w="795" w:type="pct"/>
            <w:tcBorders>
              <w:top w:val="single" w:sz="12" w:space="0" w:color="auto"/>
              <w:bottom w:val="single" w:sz="6" w:space="0" w:color="auto"/>
            </w:tcBorders>
            <w:shd w:val="clear" w:color="auto" w:fill="D9D9D9" w:themeFill="background1" w:themeFillShade="D9"/>
            <w:hideMark/>
          </w:tcPr>
          <w:p w14:paraId="372E33D3" w14:textId="77777777" w:rsidR="00E75648" w:rsidRDefault="00E75648" w:rsidP="009C7D08">
            <w:pPr>
              <w:jc w:val="right"/>
              <w:rPr>
                <w:b/>
              </w:rPr>
            </w:pPr>
            <w:r>
              <w:rPr>
                <w:b/>
              </w:rPr>
              <w:t>Uitgaven</w:t>
            </w:r>
          </w:p>
        </w:tc>
      </w:tr>
      <w:tr w:rsidR="00E75648" w14:paraId="0439F0C1" w14:textId="77777777" w:rsidTr="006E3770">
        <w:tc>
          <w:tcPr>
            <w:tcW w:w="793" w:type="pct"/>
            <w:tcBorders>
              <w:top w:val="single" w:sz="6" w:space="0" w:color="auto"/>
              <w:bottom w:val="single" w:sz="12" w:space="0" w:color="auto"/>
            </w:tcBorders>
            <w:shd w:val="clear" w:color="auto" w:fill="D9D9D9" w:themeFill="background1" w:themeFillShade="D9"/>
            <w:hideMark/>
          </w:tcPr>
          <w:p w14:paraId="0FCAD909" w14:textId="77777777" w:rsidR="00E75648" w:rsidRDefault="00E75648" w:rsidP="009C7D08">
            <w:pPr>
              <w:rPr>
                <w:i/>
              </w:rPr>
            </w:pPr>
            <w:r>
              <w:rPr>
                <w:i/>
              </w:rPr>
              <w:t>Jaar</w:t>
            </w:r>
          </w:p>
        </w:tc>
        <w:tc>
          <w:tcPr>
            <w:tcW w:w="793" w:type="pct"/>
            <w:tcBorders>
              <w:top w:val="single" w:sz="6" w:space="0" w:color="auto"/>
              <w:bottom w:val="single" w:sz="12" w:space="0" w:color="auto"/>
            </w:tcBorders>
            <w:shd w:val="clear" w:color="auto" w:fill="D9D9D9" w:themeFill="background1" w:themeFillShade="D9"/>
            <w:hideMark/>
          </w:tcPr>
          <w:p w14:paraId="73F4E6FD" w14:textId="77777777" w:rsidR="00E75648" w:rsidRDefault="00E75648" w:rsidP="009C7D08">
            <w:pPr>
              <w:rPr>
                <w:i/>
              </w:rPr>
            </w:pPr>
            <w:r>
              <w:rPr>
                <w:i/>
              </w:rPr>
              <w:t>Verplichte</w:t>
            </w:r>
          </w:p>
        </w:tc>
        <w:tc>
          <w:tcPr>
            <w:tcW w:w="1933" w:type="pct"/>
            <w:gridSpan w:val="2"/>
            <w:tcBorders>
              <w:top w:val="single" w:sz="6" w:space="0" w:color="auto"/>
              <w:bottom w:val="single" w:sz="12" w:space="0" w:color="auto"/>
            </w:tcBorders>
            <w:shd w:val="clear" w:color="auto" w:fill="D9D9D9" w:themeFill="background1" w:themeFillShade="D9"/>
            <w:hideMark/>
          </w:tcPr>
          <w:p w14:paraId="154E7C03" w14:textId="77777777" w:rsidR="00E75648" w:rsidRDefault="00E75648" w:rsidP="009C7D08">
            <w:pPr>
              <w:jc w:val="center"/>
              <w:rPr>
                <w:i/>
              </w:rPr>
            </w:pPr>
            <w:r>
              <w:rPr>
                <w:i/>
              </w:rPr>
              <w:t>Vrijwillige bijdragen</w:t>
            </w:r>
          </w:p>
        </w:tc>
        <w:tc>
          <w:tcPr>
            <w:tcW w:w="686" w:type="pct"/>
            <w:tcBorders>
              <w:top w:val="single" w:sz="6" w:space="0" w:color="auto"/>
              <w:bottom w:val="single" w:sz="12" w:space="0" w:color="auto"/>
            </w:tcBorders>
            <w:shd w:val="clear" w:color="auto" w:fill="D9D9D9" w:themeFill="background1" w:themeFillShade="D9"/>
            <w:hideMark/>
          </w:tcPr>
          <w:p w14:paraId="7EF83B8E" w14:textId="77777777" w:rsidR="00E75648" w:rsidRDefault="00E75648" w:rsidP="009C7D08">
            <w:pPr>
              <w:jc w:val="right"/>
              <w:rPr>
                <w:i/>
              </w:rPr>
            </w:pPr>
            <w:r>
              <w:rPr>
                <w:i/>
              </w:rPr>
              <w:t>Totaal</w:t>
            </w:r>
          </w:p>
        </w:tc>
        <w:tc>
          <w:tcPr>
            <w:tcW w:w="795" w:type="pct"/>
            <w:tcBorders>
              <w:top w:val="single" w:sz="6" w:space="0" w:color="auto"/>
              <w:bottom w:val="single" w:sz="12" w:space="0" w:color="auto"/>
            </w:tcBorders>
            <w:shd w:val="clear" w:color="auto" w:fill="D9D9D9" w:themeFill="background1" w:themeFillShade="D9"/>
            <w:hideMark/>
          </w:tcPr>
          <w:p w14:paraId="1411A6D5" w14:textId="77777777" w:rsidR="00E75648" w:rsidRDefault="00E75648" w:rsidP="009C7D08">
            <w:pPr>
              <w:jc w:val="right"/>
              <w:rPr>
                <w:i/>
              </w:rPr>
            </w:pPr>
            <w:r>
              <w:rPr>
                <w:i/>
              </w:rPr>
              <w:t>Totaal</w:t>
            </w:r>
          </w:p>
        </w:tc>
      </w:tr>
      <w:tr w:rsidR="00E75648" w14:paraId="5277505F" w14:textId="77777777" w:rsidTr="006E3770">
        <w:tc>
          <w:tcPr>
            <w:tcW w:w="793" w:type="pct"/>
            <w:tcBorders>
              <w:top w:val="single" w:sz="12" w:space="0" w:color="auto"/>
            </w:tcBorders>
            <w:hideMark/>
          </w:tcPr>
          <w:p w14:paraId="3DD5D882" w14:textId="77777777" w:rsidR="00E75648" w:rsidRDefault="00E75648" w:rsidP="009C7D08">
            <w:pPr>
              <w:rPr>
                <w:i/>
              </w:rPr>
            </w:pPr>
          </w:p>
        </w:tc>
        <w:tc>
          <w:tcPr>
            <w:tcW w:w="793" w:type="pct"/>
            <w:tcBorders>
              <w:top w:val="single" w:sz="12" w:space="0" w:color="auto"/>
            </w:tcBorders>
            <w:hideMark/>
          </w:tcPr>
          <w:p w14:paraId="4FDFB623" w14:textId="77777777" w:rsidR="00E75648" w:rsidRDefault="00E75648" w:rsidP="009C7D08">
            <w:pPr>
              <w:rPr>
                <w:i/>
              </w:rPr>
            </w:pPr>
            <w:r>
              <w:rPr>
                <w:i/>
              </w:rPr>
              <w:t>bijdragen</w:t>
            </w:r>
          </w:p>
        </w:tc>
        <w:tc>
          <w:tcPr>
            <w:tcW w:w="815" w:type="pct"/>
            <w:tcBorders>
              <w:top w:val="single" w:sz="12" w:space="0" w:color="auto"/>
            </w:tcBorders>
            <w:hideMark/>
          </w:tcPr>
          <w:p w14:paraId="545B3E6C" w14:textId="6F98A3F8" w:rsidR="00E75648" w:rsidRDefault="00864054" w:rsidP="009C7D08">
            <w:pPr>
              <w:rPr>
                <w:i/>
              </w:rPr>
            </w:pPr>
            <w:r>
              <w:rPr>
                <w:i/>
              </w:rPr>
              <w:t>Non-core</w:t>
            </w:r>
          </w:p>
        </w:tc>
        <w:tc>
          <w:tcPr>
            <w:tcW w:w="1118" w:type="pct"/>
            <w:tcBorders>
              <w:top w:val="single" w:sz="12" w:space="0" w:color="auto"/>
            </w:tcBorders>
            <w:hideMark/>
          </w:tcPr>
          <w:p w14:paraId="4B7689AE" w14:textId="05A6B779" w:rsidR="00E75648" w:rsidRDefault="00864054" w:rsidP="009C7D08">
            <w:pPr>
              <w:rPr>
                <w:i/>
              </w:rPr>
            </w:pPr>
            <w:r>
              <w:rPr>
                <w:i/>
              </w:rPr>
              <w:t>Core</w:t>
            </w:r>
            <w:r w:rsidR="00E75648">
              <w:rPr>
                <w:i/>
              </w:rPr>
              <w:t xml:space="preserve"> (RBSA)</w:t>
            </w:r>
          </w:p>
        </w:tc>
        <w:tc>
          <w:tcPr>
            <w:tcW w:w="686" w:type="pct"/>
            <w:tcBorders>
              <w:top w:val="single" w:sz="12" w:space="0" w:color="auto"/>
            </w:tcBorders>
          </w:tcPr>
          <w:p w14:paraId="1D8CA6E3" w14:textId="77777777" w:rsidR="00E75648" w:rsidRDefault="00E75648" w:rsidP="009C7D08">
            <w:pPr>
              <w:rPr>
                <w:i/>
              </w:rPr>
            </w:pPr>
          </w:p>
        </w:tc>
        <w:tc>
          <w:tcPr>
            <w:tcW w:w="795" w:type="pct"/>
            <w:tcBorders>
              <w:top w:val="single" w:sz="12" w:space="0" w:color="auto"/>
            </w:tcBorders>
          </w:tcPr>
          <w:p w14:paraId="37EB21AA" w14:textId="77777777" w:rsidR="00E75648" w:rsidRDefault="00E75648" w:rsidP="009C7D08">
            <w:pPr>
              <w:rPr>
                <w:i/>
              </w:rPr>
            </w:pPr>
          </w:p>
        </w:tc>
      </w:tr>
      <w:tr w:rsidR="00E75648" w14:paraId="10B96533" w14:textId="77777777" w:rsidTr="006E3770">
        <w:tc>
          <w:tcPr>
            <w:tcW w:w="793" w:type="pct"/>
            <w:hideMark/>
          </w:tcPr>
          <w:p w14:paraId="46532FA4" w14:textId="77777777" w:rsidR="00E75648" w:rsidRDefault="00E75648" w:rsidP="009C7D08">
            <w:r>
              <w:t>2014</w:t>
            </w:r>
          </w:p>
        </w:tc>
        <w:tc>
          <w:tcPr>
            <w:tcW w:w="793" w:type="pct"/>
          </w:tcPr>
          <w:p w14:paraId="00578C56" w14:textId="77777777" w:rsidR="00E75648" w:rsidRDefault="00E75648" w:rsidP="009C7D08">
            <w:pPr>
              <w:tabs>
                <w:tab w:val="decimal" w:pos="674"/>
              </w:tabs>
            </w:pPr>
            <w:r>
              <w:t>431</w:t>
            </w:r>
          </w:p>
        </w:tc>
        <w:tc>
          <w:tcPr>
            <w:tcW w:w="815" w:type="pct"/>
          </w:tcPr>
          <w:p w14:paraId="39AF65FB" w14:textId="785024CC" w:rsidR="00E75648" w:rsidRDefault="009F1533" w:rsidP="009C7D08">
            <w:pPr>
              <w:tabs>
                <w:tab w:val="decimal" w:pos="780"/>
              </w:tabs>
            </w:pPr>
            <w:r>
              <w:t>320</w:t>
            </w:r>
          </w:p>
        </w:tc>
        <w:tc>
          <w:tcPr>
            <w:tcW w:w="1118" w:type="pct"/>
          </w:tcPr>
          <w:p w14:paraId="18E82481" w14:textId="66AE7246" w:rsidR="00E75648" w:rsidRDefault="009F1533" w:rsidP="009C7D08">
            <w:pPr>
              <w:tabs>
                <w:tab w:val="decimal" w:pos="887"/>
              </w:tabs>
            </w:pPr>
            <w:r>
              <w:t>21</w:t>
            </w:r>
          </w:p>
        </w:tc>
        <w:tc>
          <w:tcPr>
            <w:tcW w:w="686" w:type="pct"/>
          </w:tcPr>
          <w:p w14:paraId="1CCD3452" w14:textId="3E04DEFE" w:rsidR="00E75648" w:rsidRDefault="00E75648" w:rsidP="009F1533">
            <w:pPr>
              <w:tabs>
                <w:tab w:val="decimal" w:pos="743"/>
              </w:tabs>
            </w:pPr>
            <w:r>
              <w:t>77</w:t>
            </w:r>
            <w:r w:rsidR="009F1533">
              <w:t>2</w:t>
            </w:r>
          </w:p>
        </w:tc>
        <w:tc>
          <w:tcPr>
            <w:tcW w:w="795" w:type="pct"/>
          </w:tcPr>
          <w:p w14:paraId="075CDDE6" w14:textId="77777777" w:rsidR="00E75648" w:rsidRDefault="00E75648" w:rsidP="009C7D08">
            <w:pPr>
              <w:tabs>
                <w:tab w:val="decimal" w:pos="885"/>
              </w:tabs>
            </w:pPr>
            <w:r>
              <w:t>768,7</w:t>
            </w:r>
          </w:p>
        </w:tc>
      </w:tr>
      <w:tr w:rsidR="00E75648" w14:paraId="354787B9" w14:textId="77777777" w:rsidTr="006E3770">
        <w:tc>
          <w:tcPr>
            <w:tcW w:w="793" w:type="pct"/>
            <w:hideMark/>
          </w:tcPr>
          <w:p w14:paraId="336C0230" w14:textId="77777777" w:rsidR="00E75648" w:rsidRDefault="00E75648" w:rsidP="009C7D08">
            <w:r>
              <w:t>2015</w:t>
            </w:r>
          </w:p>
        </w:tc>
        <w:tc>
          <w:tcPr>
            <w:tcW w:w="793" w:type="pct"/>
          </w:tcPr>
          <w:p w14:paraId="519CA8CE" w14:textId="77777777" w:rsidR="00E75648" w:rsidRDefault="00E75648" w:rsidP="009C7D08">
            <w:pPr>
              <w:tabs>
                <w:tab w:val="decimal" w:pos="674"/>
              </w:tabs>
            </w:pPr>
            <w:r>
              <w:t>387</w:t>
            </w:r>
          </w:p>
        </w:tc>
        <w:tc>
          <w:tcPr>
            <w:tcW w:w="815" w:type="pct"/>
          </w:tcPr>
          <w:p w14:paraId="0204B79D" w14:textId="34389B0C" w:rsidR="00E75648" w:rsidRDefault="009F1533" w:rsidP="009C7D08">
            <w:pPr>
              <w:tabs>
                <w:tab w:val="decimal" w:pos="780"/>
              </w:tabs>
            </w:pPr>
            <w:r>
              <w:t>310</w:t>
            </w:r>
          </w:p>
        </w:tc>
        <w:tc>
          <w:tcPr>
            <w:tcW w:w="1118" w:type="pct"/>
          </w:tcPr>
          <w:p w14:paraId="0A04AE2C" w14:textId="7291CA07" w:rsidR="00E75648" w:rsidRDefault="009F1533" w:rsidP="009C7D08">
            <w:pPr>
              <w:tabs>
                <w:tab w:val="decimal" w:pos="887"/>
              </w:tabs>
            </w:pPr>
            <w:r>
              <w:t>17</w:t>
            </w:r>
          </w:p>
        </w:tc>
        <w:tc>
          <w:tcPr>
            <w:tcW w:w="686" w:type="pct"/>
          </w:tcPr>
          <w:p w14:paraId="709A80EF" w14:textId="25FE5EDB" w:rsidR="00E75648" w:rsidRDefault="009F1533" w:rsidP="009C7D08">
            <w:pPr>
              <w:tabs>
                <w:tab w:val="decimal" w:pos="743"/>
              </w:tabs>
            </w:pPr>
            <w:r>
              <w:t>714</w:t>
            </w:r>
          </w:p>
        </w:tc>
        <w:tc>
          <w:tcPr>
            <w:tcW w:w="795" w:type="pct"/>
          </w:tcPr>
          <w:p w14:paraId="7251556F" w14:textId="77777777" w:rsidR="00E75648" w:rsidRDefault="00E75648" w:rsidP="009C7D08">
            <w:pPr>
              <w:tabs>
                <w:tab w:val="decimal" w:pos="885"/>
              </w:tabs>
            </w:pPr>
            <w:r>
              <w:t>757,8</w:t>
            </w:r>
          </w:p>
        </w:tc>
      </w:tr>
      <w:tr w:rsidR="00E75648" w14:paraId="13673455" w14:textId="77777777" w:rsidTr="006E3770">
        <w:tc>
          <w:tcPr>
            <w:tcW w:w="793" w:type="pct"/>
          </w:tcPr>
          <w:p w14:paraId="142E9C8D" w14:textId="77777777" w:rsidR="00E75648" w:rsidRDefault="00E75648" w:rsidP="009C7D08">
            <w:r>
              <w:t>2016</w:t>
            </w:r>
            <w:r>
              <w:rPr>
                <w:rStyle w:val="FootnoteReference"/>
              </w:rPr>
              <w:footnoteReference w:id="5"/>
            </w:r>
          </w:p>
        </w:tc>
        <w:tc>
          <w:tcPr>
            <w:tcW w:w="793" w:type="pct"/>
          </w:tcPr>
          <w:p w14:paraId="5B38869E" w14:textId="5376E869" w:rsidR="00E75648" w:rsidRDefault="00920B7E" w:rsidP="009C7D08">
            <w:pPr>
              <w:tabs>
                <w:tab w:val="decimal" w:pos="674"/>
              </w:tabs>
            </w:pPr>
            <w:r>
              <w:t>383</w:t>
            </w:r>
          </w:p>
        </w:tc>
        <w:tc>
          <w:tcPr>
            <w:tcW w:w="815" w:type="pct"/>
          </w:tcPr>
          <w:p w14:paraId="22913A7C" w14:textId="77777777" w:rsidR="00E75648" w:rsidRDefault="00E75648" w:rsidP="009C7D08">
            <w:pPr>
              <w:tabs>
                <w:tab w:val="decimal" w:pos="780"/>
              </w:tabs>
            </w:pPr>
            <w:r>
              <w:t>410</w:t>
            </w:r>
          </w:p>
        </w:tc>
        <w:tc>
          <w:tcPr>
            <w:tcW w:w="1118" w:type="pct"/>
          </w:tcPr>
          <w:p w14:paraId="387D6DC8" w14:textId="22A40FD4" w:rsidR="00E75648" w:rsidRDefault="009F1533" w:rsidP="009F1533">
            <w:pPr>
              <w:jc w:val="center"/>
            </w:pPr>
            <w:r>
              <w:t>14</w:t>
            </w:r>
          </w:p>
        </w:tc>
        <w:tc>
          <w:tcPr>
            <w:tcW w:w="686" w:type="pct"/>
          </w:tcPr>
          <w:p w14:paraId="3EE9571D" w14:textId="42280EBA" w:rsidR="00E75648" w:rsidRDefault="009F1533" w:rsidP="009F1533">
            <w:pPr>
              <w:jc w:val="right"/>
            </w:pPr>
            <w:r>
              <w:t>797</w:t>
            </w:r>
          </w:p>
        </w:tc>
        <w:tc>
          <w:tcPr>
            <w:tcW w:w="795" w:type="pct"/>
          </w:tcPr>
          <w:p w14:paraId="18BFDBFD" w14:textId="77777777" w:rsidR="00E75648" w:rsidRDefault="00E75648" w:rsidP="009C7D08">
            <w:pPr>
              <w:tabs>
                <w:tab w:val="decimal" w:pos="885"/>
              </w:tabs>
            </w:pPr>
            <w:r>
              <w:t>797,4</w:t>
            </w:r>
          </w:p>
        </w:tc>
      </w:tr>
    </w:tbl>
    <w:p w14:paraId="7783070A" w14:textId="77777777" w:rsidR="005A07F5" w:rsidRDefault="005A07F5" w:rsidP="00E75648"/>
    <w:p w14:paraId="73A05603" w14:textId="66185BE1" w:rsidR="00E75648" w:rsidRDefault="00E75648" w:rsidP="00E75648">
      <w:r>
        <w:t>Financieel Overzicht (bedragen in USD miljoen)</w:t>
      </w:r>
    </w:p>
    <w:p w14:paraId="4F89A466" w14:textId="77777777" w:rsidR="00255306" w:rsidRDefault="00255306" w:rsidP="00E75648"/>
    <w:tbl>
      <w:tblPr>
        <w:tblW w:w="5000" w:type="pct"/>
        <w:tblCellMar>
          <w:left w:w="0" w:type="dxa"/>
          <w:right w:w="0" w:type="dxa"/>
        </w:tblCellMar>
        <w:tblLook w:val="04A0" w:firstRow="1" w:lastRow="0" w:firstColumn="1" w:lastColumn="0" w:noHBand="0" w:noVBand="1"/>
      </w:tblPr>
      <w:tblGrid>
        <w:gridCol w:w="677"/>
        <w:gridCol w:w="2369"/>
        <w:gridCol w:w="2962"/>
        <w:gridCol w:w="1689"/>
      </w:tblGrid>
      <w:tr w:rsidR="00E75648" w14:paraId="73041FF2" w14:textId="77777777" w:rsidTr="00F84B31">
        <w:trPr>
          <w:trHeight w:val="237"/>
        </w:trPr>
        <w:tc>
          <w:tcPr>
            <w:tcW w:w="439" w:type="pct"/>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hideMark/>
          </w:tcPr>
          <w:p w14:paraId="6910A71A" w14:textId="77777777" w:rsidR="00E75648" w:rsidRDefault="00E75648" w:rsidP="009C7D08">
            <w:r>
              <w:rPr>
                <w:b/>
                <w:bCs/>
              </w:rPr>
              <w:t>Jaar</w:t>
            </w:r>
          </w:p>
        </w:tc>
        <w:tc>
          <w:tcPr>
            <w:tcW w:w="1539" w:type="pct"/>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3EE76D95" w14:textId="77777777" w:rsidR="00E75648" w:rsidRDefault="00E75648" w:rsidP="009C7D08">
            <w:r>
              <w:rPr>
                <w:b/>
                <w:bCs/>
              </w:rPr>
              <w:t>Bijdrage</w:t>
            </w:r>
          </w:p>
        </w:tc>
        <w:tc>
          <w:tcPr>
            <w:tcW w:w="1924" w:type="pct"/>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4F63BE80" w14:textId="77777777" w:rsidR="00E75648" w:rsidRDefault="00E75648" w:rsidP="009C7D08">
            <w:r>
              <w:rPr>
                <w:b/>
                <w:bCs/>
              </w:rPr>
              <w:t>Ranking/donor</w:t>
            </w:r>
          </w:p>
        </w:tc>
        <w:tc>
          <w:tcPr>
            <w:tcW w:w="1097" w:type="pct"/>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14:paraId="40901861" w14:textId="77777777" w:rsidR="00E75648" w:rsidRDefault="00E75648" w:rsidP="009C7D08">
            <w:pPr>
              <w:jc w:val="center"/>
            </w:pPr>
            <w:r>
              <w:rPr>
                <w:b/>
                <w:bCs/>
              </w:rPr>
              <w:t>Bedrag</w:t>
            </w:r>
          </w:p>
        </w:tc>
      </w:tr>
      <w:tr w:rsidR="00E75648" w14:paraId="3F0EEAD0" w14:textId="77777777" w:rsidTr="007F3F3D">
        <w:trPr>
          <w:trHeight w:val="237"/>
        </w:trPr>
        <w:tc>
          <w:tcPr>
            <w:tcW w:w="439" w:type="pct"/>
            <w:tcBorders>
              <w:top w:val="nil"/>
              <w:left w:val="single" w:sz="12" w:space="0" w:color="auto"/>
              <w:bottom w:val="single" w:sz="8" w:space="0" w:color="auto"/>
              <w:right w:val="single" w:sz="8" w:space="0" w:color="auto"/>
            </w:tcBorders>
            <w:shd w:val="clear" w:color="auto" w:fill="D9D9D9"/>
            <w:tcMar>
              <w:top w:w="0" w:type="dxa"/>
              <w:left w:w="108" w:type="dxa"/>
              <w:bottom w:w="0" w:type="dxa"/>
              <w:right w:w="108" w:type="dxa"/>
            </w:tcMar>
            <w:hideMark/>
          </w:tcPr>
          <w:p w14:paraId="004A7789" w14:textId="77777777" w:rsidR="00E75648" w:rsidRDefault="00E75648" w:rsidP="009C7D08">
            <w:r>
              <w:t> </w:t>
            </w:r>
          </w:p>
        </w:tc>
        <w:tc>
          <w:tcPr>
            <w:tcW w:w="1539" w:type="pct"/>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14:paraId="43D8768C" w14:textId="77777777" w:rsidR="00E75648" w:rsidRDefault="00E75648" w:rsidP="009C7D08">
            <w:r>
              <w:t> </w:t>
            </w:r>
          </w:p>
        </w:tc>
        <w:tc>
          <w:tcPr>
            <w:tcW w:w="1924" w:type="pct"/>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14:paraId="6248A00A" w14:textId="77777777" w:rsidR="00E75648" w:rsidRDefault="00E75648" w:rsidP="009C7D08">
            <w:r>
              <w:t> </w:t>
            </w:r>
          </w:p>
        </w:tc>
        <w:tc>
          <w:tcPr>
            <w:tcW w:w="1097" w:type="pct"/>
            <w:tcBorders>
              <w:top w:val="nil"/>
              <w:left w:val="nil"/>
              <w:bottom w:val="single" w:sz="8" w:space="0" w:color="auto"/>
              <w:right w:val="single" w:sz="12" w:space="0" w:color="auto"/>
            </w:tcBorders>
            <w:shd w:val="clear" w:color="auto" w:fill="D9D9D9"/>
            <w:tcMar>
              <w:top w:w="0" w:type="dxa"/>
              <w:left w:w="108" w:type="dxa"/>
              <w:bottom w:w="0" w:type="dxa"/>
              <w:right w:w="108" w:type="dxa"/>
            </w:tcMar>
            <w:hideMark/>
          </w:tcPr>
          <w:p w14:paraId="17309D4A" w14:textId="77777777" w:rsidR="00E75648" w:rsidRDefault="00E75648" w:rsidP="009C7D08">
            <w:r>
              <w:t> </w:t>
            </w:r>
          </w:p>
        </w:tc>
      </w:tr>
      <w:tr w:rsidR="00864054" w14:paraId="01444815" w14:textId="77777777" w:rsidTr="007F3F3D">
        <w:trPr>
          <w:trHeight w:val="250"/>
        </w:trPr>
        <w:tc>
          <w:tcPr>
            <w:tcW w:w="439" w:type="pct"/>
            <w:vMerge w:val="restart"/>
            <w:tcBorders>
              <w:top w:val="single" w:sz="8" w:space="0" w:color="auto"/>
              <w:left w:val="single" w:sz="12" w:space="0" w:color="auto"/>
              <w:right w:val="single" w:sz="8" w:space="0" w:color="auto"/>
            </w:tcBorders>
            <w:tcMar>
              <w:top w:w="0" w:type="dxa"/>
              <w:left w:w="108" w:type="dxa"/>
              <w:bottom w:w="0" w:type="dxa"/>
              <w:right w:w="108" w:type="dxa"/>
            </w:tcMar>
            <w:hideMark/>
          </w:tcPr>
          <w:p w14:paraId="792F3F2C" w14:textId="77777777" w:rsidR="00864054" w:rsidRDefault="00864054" w:rsidP="009C7D08">
            <w:r>
              <w:t>2014</w:t>
            </w:r>
          </w:p>
          <w:p w14:paraId="24976814" w14:textId="77777777" w:rsidR="00864054" w:rsidRDefault="00864054" w:rsidP="009C7D08">
            <w:r>
              <w:t> </w:t>
            </w:r>
          </w:p>
          <w:p w14:paraId="5F80853B" w14:textId="77777777" w:rsidR="00864054" w:rsidRDefault="00864054" w:rsidP="009C7D08">
            <w:r>
              <w:t> </w:t>
            </w:r>
          </w:p>
          <w:p w14:paraId="60840A97" w14:textId="77777777" w:rsidR="00864054" w:rsidRDefault="00864054" w:rsidP="009C7D08">
            <w:r>
              <w:t> </w:t>
            </w:r>
          </w:p>
          <w:p w14:paraId="3A52F99E" w14:textId="44971ABF" w:rsidR="00864054" w:rsidRDefault="00864054" w:rsidP="009C7D08">
            <w:r>
              <w:t> </w:t>
            </w:r>
          </w:p>
        </w:tc>
        <w:tc>
          <w:tcPr>
            <w:tcW w:w="1539" w:type="pct"/>
            <w:vMerge w:val="restart"/>
            <w:tcBorders>
              <w:top w:val="nil"/>
              <w:left w:val="nil"/>
              <w:right w:val="single" w:sz="8" w:space="0" w:color="auto"/>
            </w:tcBorders>
            <w:tcMar>
              <w:top w:w="0" w:type="dxa"/>
              <w:left w:w="108" w:type="dxa"/>
              <w:bottom w:w="0" w:type="dxa"/>
              <w:right w:w="108" w:type="dxa"/>
            </w:tcMar>
            <w:hideMark/>
          </w:tcPr>
          <w:p w14:paraId="1C3EE3E3" w14:textId="77777777" w:rsidR="00864054" w:rsidRDefault="00864054" w:rsidP="009C7D08">
            <w:r>
              <w:rPr>
                <w:i/>
                <w:iCs/>
              </w:rPr>
              <w:t>Core</w:t>
            </w:r>
            <w:r>
              <w:t>-bijdrage</w:t>
            </w:r>
          </w:p>
          <w:p w14:paraId="33B94BDD" w14:textId="77777777" w:rsidR="00864054" w:rsidRDefault="00864054" w:rsidP="009C7D08">
            <w:r>
              <w:t> </w:t>
            </w:r>
          </w:p>
          <w:p w14:paraId="66A0334D" w14:textId="77777777" w:rsidR="00864054" w:rsidRDefault="00864054" w:rsidP="009C7D08">
            <w:r>
              <w:t> </w:t>
            </w:r>
          </w:p>
          <w:p w14:paraId="2ADCFEE5" w14:textId="77777777" w:rsidR="00864054" w:rsidRDefault="00864054" w:rsidP="009C7D08">
            <w:r>
              <w:t> </w:t>
            </w:r>
          </w:p>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7B2B5C92" w14:textId="77777777" w:rsidR="00864054" w:rsidRDefault="00864054" w:rsidP="009C7D08">
            <w:r>
              <w:t>1. Verenigde Staten</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498B54E2" w14:textId="77C40229" w:rsidR="00864054" w:rsidRDefault="008F25FA" w:rsidP="009C7D08">
            <w:pPr>
              <w:jc w:val="right"/>
            </w:pPr>
            <w:r>
              <w:t> 88,1</w:t>
            </w:r>
          </w:p>
        </w:tc>
      </w:tr>
      <w:tr w:rsidR="00864054" w14:paraId="044AB431" w14:textId="77777777" w:rsidTr="007F3F3D">
        <w:trPr>
          <w:trHeight w:val="237"/>
        </w:trPr>
        <w:tc>
          <w:tcPr>
            <w:tcW w:w="439" w:type="pct"/>
            <w:vMerge/>
            <w:tcBorders>
              <w:top w:val="single" w:sz="4" w:space="0" w:color="auto"/>
              <w:left w:val="single" w:sz="12" w:space="0" w:color="auto"/>
              <w:right w:val="single" w:sz="8" w:space="0" w:color="auto"/>
            </w:tcBorders>
            <w:tcMar>
              <w:top w:w="0" w:type="dxa"/>
              <w:left w:w="108" w:type="dxa"/>
              <w:bottom w:w="0" w:type="dxa"/>
              <w:right w:w="108" w:type="dxa"/>
            </w:tcMar>
            <w:hideMark/>
          </w:tcPr>
          <w:p w14:paraId="338E0946" w14:textId="55C85DF5" w:rsidR="00864054" w:rsidRDefault="00864054" w:rsidP="009C7D08"/>
        </w:tc>
        <w:tc>
          <w:tcPr>
            <w:tcW w:w="1539" w:type="pct"/>
            <w:vMerge/>
            <w:tcBorders>
              <w:left w:val="nil"/>
              <w:right w:val="single" w:sz="8" w:space="0" w:color="auto"/>
            </w:tcBorders>
            <w:tcMar>
              <w:top w:w="0" w:type="dxa"/>
              <w:left w:w="108" w:type="dxa"/>
              <w:bottom w:w="0" w:type="dxa"/>
              <w:right w:w="108" w:type="dxa"/>
            </w:tcMar>
            <w:hideMark/>
          </w:tcPr>
          <w:p w14:paraId="6B068C62" w14:textId="77777777" w:rsidR="00864054" w:rsidRDefault="00864054" w:rsidP="009C7D08"/>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75447BA7" w14:textId="77777777" w:rsidR="00864054" w:rsidRDefault="00864054" w:rsidP="009C7D08">
            <w:r>
              <w:t>2. Japan</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5F48BB6A" w14:textId="29AA5343" w:rsidR="00864054" w:rsidRDefault="008F25FA" w:rsidP="009C7D08">
            <w:pPr>
              <w:jc w:val="right"/>
            </w:pPr>
            <w:r>
              <w:t> 43,4</w:t>
            </w:r>
          </w:p>
        </w:tc>
      </w:tr>
      <w:tr w:rsidR="00864054" w14:paraId="1AF2C95D" w14:textId="77777777" w:rsidTr="007F3F3D">
        <w:trPr>
          <w:trHeight w:val="238"/>
        </w:trPr>
        <w:tc>
          <w:tcPr>
            <w:tcW w:w="439" w:type="pct"/>
            <w:vMerge/>
            <w:tcBorders>
              <w:top w:val="single" w:sz="4" w:space="0" w:color="auto"/>
              <w:left w:val="single" w:sz="12" w:space="0" w:color="auto"/>
              <w:right w:val="single" w:sz="8" w:space="0" w:color="auto"/>
            </w:tcBorders>
            <w:tcMar>
              <w:top w:w="0" w:type="dxa"/>
              <w:left w:w="108" w:type="dxa"/>
              <w:bottom w:w="0" w:type="dxa"/>
              <w:right w:w="108" w:type="dxa"/>
            </w:tcMar>
            <w:hideMark/>
          </w:tcPr>
          <w:p w14:paraId="40EF77BE" w14:textId="6A9A1BD4" w:rsidR="00864054" w:rsidRDefault="00864054" w:rsidP="009C7D08"/>
        </w:tc>
        <w:tc>
          <w:tcPr>
            <w:tcW w:w="1539" w:type="pct"/>
            <w:vMerge/>
            <w:tcBorders>
              <w:left w:val="nil"/>
              <w:right w:val="single" w:sz="8" w:space="0" w:color="auto"/>
            </w:tcBorders>
            <w:tcMar>
              <w:top w:w="0" w:type="dxa"/>
              <w:left w:w="108" w:type="dxa"/>
              <w:bottom w:w="0" w:type="dxa"/>
              <w:right w:w="108" w:type="dxa"/>
            </w:tcMar>
            <w:hideMark/>
          </w:tcPr>
          <w:p w14:paraId="3DD199DA" w14:textId="77777777" w:rsidR="00864054" w:rsidRDefault="00864054" w:rsidP="009C7D08"/>
        </w:tc>
        <w:tc>
          <w:tcPr>
            <w:tcW w:w="1924" w:type="pct"/>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D081444" w14:textId="77777777" w:rsidR="00864054" w:rsidRPr="00082D88" w:rsidRDefault="00864054" w:rsidP="009C7D08">
            <w:r w:rsidRPr="00082D88">
              <w:t>3. Duitsland</w:t>
            </w:r>
          </w:p>
        </w:tc>
        <w:tc>
          <w:tcPr>
            <w:tcW w:w="1097" w:type="pct"/>
            <w:tcBorders>
              <w:top w:val="nil"/>
              <w:left w:val="nil"/>
              <w:bottom w:val="single" w:sz="8" w:space="0" w:color="auto"/>
              <w:right w:val="single" w:sz="12" w:space="0" w:color="auto"/>
            </w:tcBorders>
            <w:shd w:val="clear" w:color="auto" w:fill="FFFFFF" w:themeFill="background1"/>
            <w:tcMar>
              <w:top w:w="0" w:type="dxa"/>
              <w:left w:w="108" w:type="dxa"/>
              <w:bottom w:w="0" w:type="dxa"/>
              <w:right w:w="108" w:type="dxa"/>
            </w:tcMar>
            <w:hideMark/>
          </w:tcPr>
          <w:p w14:paraId="29FE46E7" w14:textId="5FEC211C" w:rsidR="00864054" w:rsidRPr="00082D88" w:rsidRDefault="008F25FA" w:rsidP="009C7D08">
            <w:pPr>
              <w:jc w:val="right"/>
            </w:pPr>
            <w:r>
              <w:t> 29,8</w:t>
            </w:r>
            <w:r w:rsidR="00864054" w:rsidRPr="00082D88">
              <w:t xml:space="preserve"> </w:t>
            </w:r>
          </w:p>
        </w:tc>
      </w:tr>
      <w:tr w:rsidR="00864054" w14:paraId="49F8E7D9" w14:textId="77777777" w:rsidTr="007F3F3D">
        <w:trPr>
          <w:trHeight w:val="237"/>
        </w:trPr>
        <w:tc>
          <w:tcPr>
            <w:tcW w:w="439" w:type="pct"/>
            <w:vMerge/>
            <w:tcBorders>
              <w:top w:val="single" w:sz="4" w:space="0" w:color="auto"/>
              <w:left w:val="single" w:sz="12" w:space="0" w:color="auto"/>
              <w:right w:val="single" w:sz="8" w:space="0" w:color="auto"/>
            </w:tcBorders>
            <w:tcMar>
              <w:top w:w="0" w:type="dxa"/>
              <w:left w:w="108" w:type="dxa"/>
              <w:bottom w:w="0" w:type="dxa"/>
              <w:right w:w="108" w:type="dxa"/>
            </w:tcMar>
            <w:hideMark/>
          </w:tcPr>
          <w:p w14:paraId="6F23A629" w14:textId="0D6B9C6E" w:rsidR="00864054" w:rsidRDefault="00864054" w:rsidP="009C7D08"/>
        </w:tc>
        <w:tc>
          <w:tcPr>
            <w:tcW w:w="1539" w:type="pct"/>
            <w:vMerge/>
            <w:tcBorders>
              <w:left w:val="nil"/>
              <w:bottom w:val="single" w:sz="8" w:space="0" w:color="auto"/>
              <w:right w:val="single" w:sz="8" w:space="0" w:color="auto"/>
            </w:tcBorders>
            <w:tcMar>
              <w:top w:w="0" w:type="dxa"/>
              <w:left w:w="108" w:type="dxa"/>
              <w:bottom w:w="0" w:type="dxa"/>
              <w:right w:w="108" w:type="dxa"/>
            </w:tcMar>
            <w:hideMark/>
          </w:tcPr>
          <w:p w14:paraId="45AA67A2" w14:textId="77777777" w:rsidR="00864054" w:rsidRDefault="00864054" w:rsidP="009C7D08"/>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35568BB1" w14:textId="77777777" w:rsidR="00864054" w:rsidRPr="00724360" w:rsidRDefault="00864054" w:rsidP="009C7D08">
            <w:pPr>
              <w:rPr>
                <w:b/>
              </w:rPr>
            </w:pPr>
            <w:r w:rsidRPr="00724360">
              <w:rPr>
                <w:b/>
              </w:rPr>
              <w:t>11. Nederland</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5439D6F9" w14:textId="02F5F011" w:rsidR="00864054" w:rsidRDefault="008F25FA" w:rsidP="009C7D08">
            <w:pPr>
              <w:jc w:val="right"/>
            </w:pPr>
            <w:r>
              <w:t>10,0</w:t>
            </w:r>
          </w:p>
        </w:tc>
      </w:tr>
      <w:tr w:rsidR="00864054" w14:paraId="514D7978" w14:textId="77777777" w:rsidTr="007F3F3D">
        <w:trPr>
          <w:trHeight w:val="250"/>
        </w:trPr>
        <w:tc>
          <w:tcPr>
            <w:tcW w:w="439" w:type="pct"/>
            <w:vMerge/>
            <w:tcBorders>
              <w:top w:val="single" w:sz="4" w:space="0" w:color="auto"/>
              <w:left w:val="single" w:sz="12" w:space="0" w:color="auto"/>
              <w:right w:val="single" w:sz="8" w:space="0" w:color="auto"/>
            </w:tcBorders>
            <w:tcMar>
              <w:top w:w="0" w:type="dxa"/>
              <w:left w:w="108" w:type="dxa"/>
              <w:bottom w:w="0" w:type="dxa"/>
              <w:right w:w="108" w:type="dxa"/>
            </w:tcMar>
            <w:hideMark/>
          </w:tcPr>
          <w:p w14:paraId="6CE33E0E" w14:textId="69DFABFE" w:rsidR="00864054" w:rsidRDefault="00864054" w:rsidP="009C7D08"/>
        </w:tc>
        <w:tc>
          <w:tcPr>
            <w:tcW w:w="1539" w:type="pct"/>
            <w:vMerge w:val="restart"/>
            <w:tcBorders>
              <w:top w:val="nil"/>
              <w:left w:val="nil"/>
              <w:right w:val="single" w:sz="8" w:space="0" w:color="auto"/>
            </w:tcBorders>
            <w:tcMar>
              <w:top w:w="0" w:type="dxa"/>
              <w:left w:w="108" w:type="dxa"/>
              <w:bottom w:w="0" w:type="dxa"/>
              <w:right w:w="108" w:type="dxa"/>
            </w:tcMar>
            <w:hideMark/>
          </w:tcPr>
          <w:p w14:paraId="64D09133" w14:textId="77777777" w:rsidR="00864054" w:rsidRDefault="00864054" w:rsidP="009C7D08">
            <w:r>
              <w:rPr>
                <w:i/>
                <w:iCs/>
              </w:rPr>
              <w:t>Non-core</w:t>
            </w:r>
            <w:r>
              <w:t>-bijdragen</w:t>
            </w:r>
          </w:p>
          <w:p w14:paraId="305F43F2" w14:textId="77777777" w:rsidR="00864054" w:rsidRDefault="00864054" w:rsidP="009C7D08">
            <w:r>
              <w:t> </w:t>
            </w:r>
          </w:p>
          <w:p w14:paraId="51BE5C67" w14:textId="77777777" w:rsidR="00864054" w:rsidRDefault="00864054" w:rsidP="009C7D08">
            <w:r>
              <w:t> </w:t>
            </w:r>
          </w:p>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0EEBABD2" w14:textId="77777777" w:rsidR="00864054" w:rsidRDefault="00864054" w:rsidP="009C7D08">
            <w:r>
              <w:t>1. Europese Commissie</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022B46F3" w14:textId="4C60575D" w:rsidR="00864054" w:rsidRDefault="008F25FA" w:rsidP="009C7D08">
            <w:pPr>
              <w:jc w:val="right"/>
            </w:pPr>
            <w:r>
              <w:t>33,2</w:t>
            </w:r>
          </w:p>
        </w:tc>
      </w:tr>
      <w:tr w:rsidR="00E75648" w14:paraId="0D4EA54F" w14:textId="77777777" w:rsidTr="007F3F3D">
        <w:trPr>
          <w:trHeight w:val="237"/>
        </w:trPr>
        <w:tc>
          <w:tcPr>
            <w:tcW w:w="439" w:type="pct"/>
            <w:vMerge w:val="restart"/>
            <w:tcBorders>
              <w:left w:val="single" w:sz="12" w:space="0" w:color="auto"/>
              <w:right w:val="single" w:sz="8" w:space="0" w:color="auto"/>
            </w:tcBorders>
            <w:tcMar>
              <w:top w:w="0" w:type="dxa"/>
              <w:left w:w="108" w:type="dxa"/>
              <w:bottom w:w="0" w:type="dxa"/>
              <w:right w:w="108" w:type="dxa"/>
            </w:tcMar>
            <w:hideMark/>
          </w:tcPr>
          <w:p w14:paraId="2439DC58" w14:textId="77777777" w:rsidR="00E75648" w:rsidRDefault="00E75648" w:rsidP="009C7D08">
            <w:r>
              <w:t> </w:t>
            </w:r>
          </w:p>
          <w:p w14:paraId="5AC6EE17" w14:textId="77777777" w:rsidR="00E75648" w:rsidRDefault="00E75648" w:rsidP="009C7D08">
            <w:r>
              <w:t> </w:t>
            </w:r>
          </w:p>
          <w:p w14:paraId="1CA8C532" w14:textId="77777777" w:rsidR="00E75648" w:rsidRDefault="00E75648" w:rsidP="009C7D08">
            <w:r>
              <w:t> </w:t>
            </w:r>
          </w:p>
          <w:p w14:paraId="11A1C4AB" w14:textId="77777777" w:rsidR="00E75648" w:rsidRDefault="00E75648" w:rsidP="009C7D08">
            <w:r>
              <w:t> </w:t>
            </w:r>
          </w:p>
          <w:p w14:paraId="06027BC3" w14:textId="77777777" w:rsidR="00E75648" w:rsidRDefault="00E75648" w:rsidP="009C7D08">
            <w:r>
              <w:t> </w:t>
            </w:r>
          </w:p>
        </w:tc>
        <w:tc>
          <w:tcPr>
            <w:tcW w:w="1539" w:type="pct"/>
            <w:vMerge/>
            <w:tcBorders>
              <w:left w:val="nil"/>
              <w:right w:val="single" w:sz="8" w:space="0" w:color="auto"/>
            </w:tcBorders>
            <w:tcMar>
              <w:top w:w="0" w:type="dxa"/>
              <w:left w:w="108" w:type="dxa"/>
              <w:bottom w:w="0" w:type="dxa"/>
              <w:right w:w="108" w:type="dxa"/>
            </w:tcMar>
            <w:hideMark/>
          </w:tcPr>
          <w:p w14:paraId="28529EB0" w14:textId="77777777" w:rsidR="00E75648" w:rsidRDefault="00E75648" w:rsidP="009C7D08"/>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049E9E48" w14:textId="6B2D14BB" w:rsidR="00E75648" w:rsidRDefault="006A10B3" w:rsidP="006A10B3">
            <w:r>
              <w:t>2. Verenigde Staten</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542AE98D" w14:textId="77B66466" w:rsidR="00E75648" w:rsidRDefault="008F25FA" w:rsidP="009C7D08">
            <w:pPr>
              <w:jc w:val="right"/>
            </w:pPr>
            <w:r>
              <w:t>26,5</w:t>
            </w:r>
          </w:p>
        </w:tc>
      </w:tr>
      <w:tr w:rsidR="00E75648" w14:paraId="13882F45" w14:textId="77777777" w:rsidTr="00F84B31">
        <w:trPr>
          <w:trHeight w:val="250"/>
        </w:trPr>
        <w:tc>
          <w:tcPr>
            <w:tcW w:w="439" w:type="pct"/>
            <w:vMerge/>
            <w:tcBorders>
              <w:left w:val="single" w:sz="12" w:space="0" w:color="auto"/>
              <w:right w:val="single" w:sz="8" w:space="0" w:color="auto"/>
            </w:tcBorders>
            <w:tcMar>
              <w:top w:w="0" w:type="dxa"/>
              <w:left w:w="108" w:type="dxa"/>
              <w:bottom w:w="0" w:type="dxa"/>
              <w:right w:w="108" w:type="dxa"/>
            </w:tcMar>
            <w:hideMark/>
          </w:tcPr>
          <w:p w14:paraId="1D288E6F" w14:textId="77777777" w:rsidR="00E75648" w:rsidRDefault="00E75648" w:rsidP="009C7D08"/>
        </w:tc>
        <w:tc>
          <w:tcPr>
            <w:tcW w:w="1539" w:type="pct"/>
            <w:vMerge/>
            <w:tcBorders>
              <w:left w:val="nil"/>
              <w:right w:val="single" w:sz="8" w:space="0" w:color="auto"/>
            </w:tcBorders>
            <w:tcMar>
              <w:top w:w="0" w:type="dxa"/>
              <w:left w:w="108" w:type="dxa"/>
              <w:bottom w:w="0" w:type="dxa"/>
              <w:right w:w="108" w:type="dxa"/>
            </w:tcMar>
            <w:hideMark/>
          </w:tcPr>
          <w:p w14:paraId="37ECFDC9" w14:textId="77777777" w:rsidR="00E75648" w:rsidRDefault="00E75648" w:rsidP="009C7D08"/>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19D0CA1C" w14:textId="77777777" w:rsidR="00E75648" w:rsidRDefault="00E75648" w:rsidP="009C7D08">
            <w:r>
              <w:t>3. Zweden</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79E64F96" w14:textId="37BC440E" w:rsidR="00E75648" w:rsidRDefault="008F25FA" w:rsidP="009C7D08">
            <w:pPr>
              <w:jc w:val="right"/>
            </w:pPr>
            <w:r>
              <w:t>21,3</w:t>
            </w:r>
          </w:p>
        </w:tc>
      </w:tr>
      <w:tr w:rsidR="00E75648" w14:paraId="255C77D5" w14:textId="77777777" w:rsidTr="00F84B31">
        <w:trPr>
          <w:trHeight w:val="250"/>
        </w:trPr>
        <w:tc>
          <w:tcPr>
            <w:tcW w:w="439" w:type="pct"/>
            <w:vMerge/>
            <w:tcBorders>
              <w:left w:val="single" w:sz="12" w:space="0" w:color="auto"/>
              <w:right w:val="single" w:sz="8" w:space="0" w:color="auto"/>
            </w:tcBorders>
            <w:tcMar>
              <w:top w:w="0" w:type="dxa"/>
              <w:left w:w="108" w:type="dxa"/>
              <w:bottom w:w="0" w:type="dxa"/>
              <w:right w:w="108" w:type="dxa"/>
            </w:tcMar>
          </w:tcPr>
          <w:p w14:paraId="6A8A349E" w14:textId="77777777" w:rsidR="00E75648" w:rsidRDefault="00E75648" w:rsidP="009C7D08"/>
        </w:tc>
        <w:tc>
          <w:tcPr>
            <w:tcW w:w="1539" w:type="pct"/>
            <w:vMerge/>
            <w:tcBorders>
              <w:left w:val="nil"/>
              <w:bottom w:val="single" w:sz="8" w:space="0" w:color="auto"/>
              <w:right w:val="single" w:sz="8" w:space="0" w:color="auto"/>
            </w:tcBorders>
            <w:tcMar>
              <w:top w:w="0" w:type="dxa"/>
              <w:left w:w="108" w:type="dxa"/>
              <w:bottom w:w="0" w:type="dxa"/>
              <w:right w:w="108" w:type="dxa"/>
            </w:tcMar>
          </w:tcPr>
          <w:p w14:paraId="53118756" w14:textId="77777777" w:rsidR="00E75648" w:rsidRDefault="00E75648" w:rsidP="009C7D08"/>
        </w:tc>
        <w:tc>
          <w:tcPr>
            <w:tcW w:w="1924" w:type="pct"/>
            <w:tcBorders>
              <w:top w:val="nil"/>
              <w:left w:val="nil"/>
              <w:bottom w:val="single" w:sz="8" w:space="0" w:color="auto"/>
              <w:right w:val="single" w:sz="8" w:space="0" w:color="auto"/>
            </w:tcBorders>
            <w:tcMar>
              <w:top w:w="0" w:type="dxa"/>
              <w:left w:w="108" w:type="dxa"/>
              <w:bottom w:w="0" w:type="dxa"/>
              <w:right w:w="108" w:type="dxa"/>
            </w:tcMar>
          </w:tcPr>
          <w:p w14:paraId="6281C455" w14:textId="77777777" w:rsidR="00E75648" w:rsidRPr="00724360" w:rsidRDefault="00E75648" w:rsidP="009C7D08">
            <w:pPr>
              <w:rPr>
                <w:b/>
              </w:rPr>
            </w:pPr>
            <w:r w:rsidRPr="00724360">
              <w:rPr>
                <w:b/>
              </w:rPr>
              <w:t xml:space="preserve">7. Nederland </w:t>
            </w:r>
          </w:p>
        </w:tc>
        <w:tc>
          <w:tcPr>
            <w:tcW w:w="1097" w:type="pct"/>
            <w:tcBorders>
              <w:top w:val="nil"/>
              <w:left w:val="nil"/>
              <w:bottom w:val="single" w:sz="8" w:space="0" w:color="auto"/>
              <w:right w:val="single" w:sz="12" w:space="0" w:color="auto"/>
            </w:tcBorders>
            <w:tcMar>
              <w:top w:w="0" w:type="dxa"/>
              <w:left w:w="108" w:type="dxa"/>
              <w:bottom w:w="0" w:type="dxa"/>
              <w:right w:w="108" w:type="dxa"/>
            </w:tcMar>
          </w:tcPr>
          <w:p w14:paraId="2755E5C5" w14:textId="4B6DA2C4" w:rsidR="00E75648" w:rsidRDefault="008F25FA" w:rsidP="009C7D08">
            <w:pPr>
              <w:jc w:val="right"/>
            </w:pPr>
            <w:r>
              <w:t>13,0</w:t>
            </w:r>
          </w:p>
        </w:tc>
      </w:tr>
      <w:tr w:rsidR="00E75648" w14:paraId="1C3AE825" w14:textId="77777777" w:rsidTr="00F84B31">
        <w:trPr>
          <w:trHeight w:val="263"/>
        </w:trPr>
        <w:tc>
          <w:tcPr>
            <w:tcW w:w="439" w:type="pct"/>
            <w:vMerge/>
            <w:tcBorders>
              <w:left w:val="single" w:sz="12" w:space="0" w:color="auto"/>
              <w:right w:val="single" w:sz="8" w:space="0" w:color="auto"/>
            </w:tcBorders>
            <w:tcMar>
              <w:top w:w="0" w:type="dxa"/>
              <w:left w:w="108" w:type="dxa"/>
              <w:bottom w:w="0" w:type="dxa"/>
              <w:right w:w="108" w:type="dxa"/>
            </w:tcMar>
            <w:hideMark/>
          </w:tcPr>
          <w:p w14:paraId="676DE1DF" w14:textId="77777777" w:rsidR="00E75648" w:rsidRDefault="00E75648" w:rsidP="009C7D08"/>
        </w:tc>
        <w:tc>
          <w:tcPr>
            <w:tcW w:w="1539" w:type="pct"/>
            <w:vMerge w:val="restart"/>
            <w:tcBorders>
              <w:top w:val="nil"/>
              <w:left w:val="nil"/>
              <w:right w:val="single" w:sz="8" w:space="0" w:color="auto"/>
            </w:tcBorders>
            <w:tcMar>
              <w:top w:w="0" w:type="dxa"/>
              <w:left w:w="108" w:type="dxa"/>
              <w:bottom w:w="0" w:type="dxa"/>
              <w:right w:w="108" w:type="dxa"/>
            </w:tcMar>
            <w:hideMark/>
          </w:tcPr>
          <w:p w14:paraId="7D7F0A64" w14:textId="77777777" w:rsidR="00E75648" w:rsidRPr="0063594B" w:rsidRDefault="00E75648" w:rsidP="009C7D08">
            <w:pPr>
              <w:rPr>
                <w:lang w:val="en-US"/>
              </w:rPr>
            </w:pPr>
            <w:r w:rsidRPr="0063594B">
              <w:rPr>
                <w:lang w:val="en-US"/>
              </w:rPr>
              <w:t>Totale bijdrage</w:t>
            </w:r>
          </w:p>
          <w:p w14:paraId="61EC1A92" w14:textId="77777777" w:rsidR="00E75648" w:rsidRPr="0063594B" w:rsidRDefault="00E75648" w:rsidP="009C7D08">
            <w:pPr>
              <w:rPr>
                <w:lang w:val="en-US"/>
              </w:rPr>
            </w:pPr>
            <w:r w:rsidRPr="0063594B">
              <w:rPr>
                <w:lang w:val="en-US"/>
              </w:rPr>
              <w:t> </w:t>
            </w:r>
          </w:p>
          <w:p w14:paraId="39C44BF9" w14:textId="77777777" w:rsidR="00E75648" w:rsidRPr="0063594B" w:rsidRDefault="00E75648" w:rsidP="009C7D08">
            <w:pPr>
              <w:rPr>
                <w:lang w:val="en-US"/>
              </w:rPr>
            </w:pPr>
            <w:r w:rsidRPr="0063594B">
              <w:rPr>
                <w:lang w:val="en-US"/>
              </w:rPr>
              <w:t> </w:t>
            </w:r>
          </w:p>
        </w:tc>
        <w:tc>
          <w:tcPr>
            <w:tcW w:w="1924" w:type="pct"/>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3AA36FBE" w14:textId="77777777" w:rsidR="00E75648" w:rsidRDefault="00E75648" w:rsidP="009C7D08">
            <w:pPr>
              <w:tabs>
                <w:tab w:val="left" w:pos="1020"/>
              </w:tabs>
            </w:pPr>
            <w:r>
              <w:t>1.Verenigde Staten</w:t>
            </w:r>
          </w:p>
        </w:tc>
        <w:tc>
          <w:tcPr>
            <w:tcW w:w="1097" w:type="pct"/>
            <w:tcBorders>
              <w:top w:val="nil"/>
              <w:left w:val="nil"/>
              <w:bottom w:val="single" w:sz="8" w:space="0" w:color="auto"/>
              <w:right w:val="single" w:sz="12" w:space="0" w:color="auto"/>
            </w:tcBorders>
            <w:shd w:val="clear" w:color="auto" w:fill="FFFFFF" w:themeFill="background1"/>
            <w:tcMar>
              <w:top w:w="0" w:type="dxa"/>
              <w:left w:w="108" w:type="dxa"/>
              <w:bottom w:w="0" w:type="dxa"/>
              <w:right w:w="108" w:type="dxa"/>
            </w:tcMar>
            <w:hideMark/>
          </w:tcPr>
          <w:p w14:paraId="2B028F29" w14:textId="413B5E15" w:rsidR="00E75648" w:rsidRDefault="008F25FA" w:rsidP="009C7D08">
            <w:pPr>
              <w:jc w:val="right"/>
            </w:pPr>
            <w:r>
              <w:t> 114,6</w:t>
            </w:r>
          </w:p>
        </w:tc>
      </w:tr>
      <w:tr w:rsidR="00E75648" w14:paraId="201A5C08" w14:textId="77777777" w:rsidTr="00F84B31">
        <w:trPr>
          <w:trHeight w:val="250"/>
        </w:trPr>
        <w:tc>
          <w:tcPr>
            <w:tcW w:w="439" w:type="pct"/>
            <w:vMerge/>
            <w:tcBorders>
              <w:left w:val="single" w:sz="12" w:space="0" w:color="auto"/>
              <w:right w:val="single" w:sz="8" w:space="0" w:color="auto"/>
            </w:tcBorders>
            <w:tcMar>
              <w:top w:w="0" w:type="dxa"/>
              <w:left w:w="108" w:type="dxa"/>
              <w:bottom w:w="0" w:type="dxa"/>
              <w:right w:w="108" w:type="dxa"/>
            </w:tcMar>
            <w:hideMark/>
          </w:tcPr>
          <w:p w14:paraId="1AE89B86" w14:textId="77777777" w:rsidR="00E75648" w:rsidRDefault="00E75648" w:rsidP="009C7D08"/>
        </w:tc>
        <w:tc>
          <w:tcPr>
            <w:tcW w:w="1539" w:type="pct"/>
            <w:vMerge/>
            <w:tcBorders>
              <w:left w:val="nil"/>
              <w:right w:val="single" w:sz="8" w:space="0" w:color="auto"/>
            </w:tcBorders>
            <w:tcMar>
              <w:top w:w="0" w:type="dxa"/>
              <w:left w:w="108" w:type="dxa"/>
              <w:bottom w:w="0" w:type="dxa"/>
              <w:right w:w="108" w:type="dxa"/>
            </w:tcMar>
            <w:hideMark/>
          </w:tcPr>
          <w:p w14:paraId="68A3337A" w14:textId="77777777" w:rsidR="00E75648" w:rsidRDefault="00E75648" w:rsidP="009C7D08"/>
        </w:tc>
        <w:tc>
          <w:tcPr>
            <w:tcW w:w="1924" w:type="pct"/>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57FABA51" w14:textId="77777777" w:rsidR="00E75648" w:rsidRDefault="00E75648" w:rsidP="009C7D08">
            <w:r>
              <w:t xml:space="preserve">2. Japan </w:t>
            </w:r>
          </w:p>
        </w:tc>
        <w:tc>
          <w:tcPr>
            <w:tcW w:w="1097" w:type="pct"/>
            <w:tcBorders>
              <w:top w:val="nil"/>
              <w:left w:val="nil"/>
              <w:bottom w:val="single" w:sz="8" w:space="0" w:color="auto"/>
              <w:right w:val="single" w:sz="12" w:space="0" w:color="auto"/>
            </w:tcBorders>
            <w:shd w:val="clear" w:color="auto" w:fill="FFFFFF" w:themeFill="background1"/>
            <w:tcMar>
              <w:top w:w="0" w:type="dxa"/>
              <w:left w:w="108" w:type="dxa"/>
              <w:bottom w:w="0" w:type="dxa"/>
              <w:right w:w="108" w:type="dxa"/>
            </w:tcMar>
            <w:hideMark/>
          </w:tcPr>
          <w:p w14:paraId="48CA9DF3" w14:textId="31E61097" w:rsidR="00E75648" w:rsidRDefault="008F25FA" w:rsidP="009C7D08">
            <w:pPr>
              <w:jc w:val="right"/>
            </w:pPr>
            <w:r>
              <w:t> 49,9</w:t>
            </w:r>
          </w:p>
        </w:tc>
      </w:tr>
      <w:tr w:rsidR="00E75648" w14:paraId="36396429" w14:textId="77777777" w:rsidTr="00F84B31">
        <w:trPr>
          <w:trHeight w:val="250"/>
        </w:trPr>
        <w:tc>
          <w:tcPr>
            <w:tcW w:w="439" w:type="pct"/>
            <w:vMerge/>
            <w:tcBorders>
              <w:left w:val="single" w:sz="12" w:space="0" w:color="auto"/>
              <w:right w:val="single" w:sz="8" w:space="0" w:color="auto"/>
            </w:tcBorders>
            <w:tcMar>
              <w:top w:w="0" w:type="dxa"/>
              <w:left w:w="108" w:type="dxa"/>
              <w:bottom w:w="0" w:type="dxa"/>
              <w:right w:w="108" w:type="dxa"/>
            </w:tcMar>
            <w:hideMark/>
          </w:tcPr>
          <w:p w14:paraId="2E494FD6" w14:textId="77777777" w:rsidR="00E75648" w:rsidRDefault="00E75648" w:rsidP="009C7D08"/>
        </w:tc>
        <w:tc>
          <w:tcPr>
            <w:tcW w:w="1539" w:type="pct"/>
            <w:vMerge/>
            <w:tcBorders>
              <w:left w:val="nil"/>
              <w:right w:val="single" w:sz="8" w:space="0" w:color="auto"/>
            </w:tcBorders>
            <w:tcMar>
              <w:top w:w="0" w:type="dxa"/>
              <w:left w:w="108" w:type="dxa"/>
              <w:bottom w:w="0" w:type="dxa"/>
              <w:right w:w="108" w:type="dxa"/>
            </w:tcMar>
            <w:hideMark/>
          </w:tcPr>
          <w:p w14:paraId="4D888FAC" w14:textId="77777777" w:rsidR="00E75648" w:rsidRDefault="00E75648" w:rsidP="009C7D08"/>
        </w:tc>
        <w:tc>
          <w:tcPr>
            <w:tcW w:w="1924" w:type="pct"/>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0AFC858A" w14:textId="77777777" w:rsidR="00E75648" w:rsidRDefault="00E75648" w:rsidP="009C7D08">
            <w:r>
              <w:t>3. Germany</w:t>
            </w:r>
          </w:p>
        </w:tc>
        <w:tc>
          <w:tcPr>
            <w:tcW w:w="1097" w:type="pct"/>
            <w:tcBorders>
              <w:top w:val="nil"/>
              <w:left w:val="nil"/>
              <w:bottom w:val="single" w:sz="8" w:space="0" w:color="auto"/>
              <w:right w:val="single" w:sz="12" w:space="0" w:color="auto"/>
            </w:tcBorders>
            <w:shd w:val="clear" w:color="auto" w:fill="FFFFFF" w:themeFill="background1"/>
            <w:tcMar>
              <w:top w:w="0" w:type="dxa"/>
              <w:left w:w="108" w:type="dxa"/>
              <w:bottom w:w="0" w:type="dxa"/>
              <w:right w:w="108" w:type="dxa"/>
            </w:tcMar>
            <w:hideMark/>
          </w:tcPr>
          <w:p w14:paraId="149BC0A0" w14:textId="1FAB80E6" w:rsidR="00E75648" w:rsidRDefault="008F25FA" w:rsidP="009C7D08">
            <w:pPr>
              <w:jc w:val="right"/>
            </w:pPr>
            <w:r>
              <w:t> 33,3</w:t>
            </w:r>
          </w:p>
        </w:tc>
      </w:tr>
      <w:tr w:rsidR="00E75648" w14:paraId="335A965D" w14:textId="77777777" w:rsidTr="00F84B31">
        <w:trPr>
          <w:trHeight w:val="244"/>
        </w:trPr>
        <w:tc>
          <w:tcPr>
            <w:tcW w:w="439" w:type="pct"/>
            <w:vMerge/>
            <w:tcBorders>
              <w:left w:val="single" w:sz="12" w:space="0" w:color="auto"/>
              <w:bottom w:val="single" w:sz="8" w:space="0" w:color="auto"/>
              <w:right w:val="single" w:sz="8" w:space="0" w:color="auto"/>
            </w:tcBorders>
            <w:tcMar>
              <w:top w:w="0" w:type="dxa"/>
              <w:left w:w="108" w:type="dxa"/>
              <w:bottom w:w="0" w:type="dxa"/>
              <w:right w:w="108" w:type="dxa"/>
            </w:tcMar>
          </w:tcPr>
          <w:p w14:paraId="52C44EE9" w14:textId="77777777" w:rsidR="00E75648" w:rsidRDefault="00E75648" w:rsidP="009C7D08"/>
        </w:tc>
        <w:tc>
          <w:tcPr>
            <w:tcW w:w="1539" w:type="pct"/>
            <w:vMerge/>
            <w:tcBorders>
              <w:left w:val="nil"/>
              <w:bottom w:val="single" w:sz="8" w:space="0" w:color="auto"/>
              <w:right w:val="single" w:sz="8" w:space="0" w:color="auto"/>
            </w:tcBorders>
            <w:tcMar>
              <w:top w:w="0" w:type="dxa"/>
              <w:left w:w="108" w:type="dxa"/>
              <w:bottom w:w="0" w:type="dxa"/>
              <w:right w:w="108" w:type="dxa"/>
            </w:tcMar>
          </w:tcPr>
          <w:p w14:paraId="50142E90" w14:textId="77777777" w:rsidR="00E75648" w:rsidRDefault="00E75648" w:rsidP="009C7D08"/>
        </w:tc>
        <w:tc>
          <w:tcPr>
            <w:tcW w:w="1924" w:type="pct"/>
            <w:tcBorders>
              <w:top w:val="nil"/>
              <w:left w:val="nil"/>
              <w:bottom w:val="single" w:sz="8" w:space="0" w:color="auto"/>
              <w:right w:val="single" w:sz="8" w:space="0" w:color="auto"/>
            </w:tcBorders>
            <w:tcMar>
              <w:top w:w="0" w:type="dxa"/>
              <w:left w:w="108" w:type="dxa"/>
              <w:bottom w:w="0" w:type="dxa"/>
              <w:right w:w="108" w:type="dxa"/>
            </w:tcMar>
          </w:tcPr>
          <w:p w14:paraId="314B3610" w14:textId="77777777" w:rsidR="00E75648" w:rsidRPr="00724360" w:rsidRDefault="00E75648" w:rsidP="009C7D08">
            <w:pPr>
              <w:rPr>
                <w:b/>
              </w:rPr>
            </w:pPr>
            <w:r w:rsidRPr="00724360">
              <w:rPr>
                <w:b/>
              </w:rPr>
              <w:t xml:space="preserve">10. Nederland </w:t>
            </w:r>
          </w:p>
        </w:tc>
        <w:tc>
          <w:tcPr>
            <w:tcW w:w="1097" w:type="pct"/>
            <w:tcBorders>
              <w:top w:val="nil"/>
              <w:left w:val="nil"/>
              <w:bottom w:val="single" w:sz="8" w:space="0" w:color="auto"/>
              <w:right w:val="single" w:sz="12" w:space="0" w:color="auto"/>
            </w:tcBorders>
            <w:tcMar>
              <w:top w:w="0" w:type="dxa"/>
              <w:left w:w="108" w:type="dxa"/>
              <w:bottom w:w="0" w:type="dxa"/>
              <w:right w:w="108" w:type="dxa"/>
            </w:tcMar>
          </w:tcPr>
          <w:p w14:paraId="2D65BEEF" w14:textId="65E52FD1" w:rsidR="00E75648" w:rsidRDefault="008F25FA" w:rsidP="009C7D08">
            <w:pPr>
              <w:jc w:val="right"/>
            </w:pPr>
            <w:r>
              <w:t>23,1</w:t>
            </w:r>
          </w:p>
        </w:tc>
      </w:tr>
      <w:tr w:rsidR="00E75648" w14:paraId="7B649E39" w14:textId="77777777" w:rsidTr="00F84B31">
        <w:trPr>
          <w:trHeight w:val="237"/>
        </w:trPr>
        <w:tc>
          <w:tcPr>
            <w:tcW w:w="439" w:type="pct"/>
            <w:tcBorders>
              <w:top w:val="nil"/>
              <w:left w:val="single" w:sz="12" w:space="0" w:color="auto"/>
              <w:bottom w:val="single" w:sz="8" w:space="0" w:color="auto"/>
              <w:right w:val="single" w:sz="8" w:space="0" w:color="auto"/>
            </w:tcBorders>
            <w:shd w:val="clear" w:color="auto" w:fill="D9D9D9"/>
            <w:tcMar>
              <w:top w:w="0" w:type="dxa"/>
              <w:left w:w="108" w:type="dxa"/>
              <w:bottom w:w="0" w:type="dxa"/>
              <w:right w:w="108" w:type="dxa"/>
            </w:tcMar>
            <w:hideMark/>
          </w:tcPr>
          <w:p w14:paraId="354748D3" w14:textId="77777777" w:rsidR="00E75648" w:rsidRDefault="00E75648" w:rsidP="009C7D08">
            <w:r>
              <w:t> </w:t>
            </w:r>
          </w:p>
        </w:tc>
        <w:tc>
          <w:tcPr>
            <w:tcW w:w="1539" w:type="pct"/>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14:paraId="0AC194BB" w14:textId="77777777" w:rsidR="00E75648" w:rsidRDefault="00E75648" w:rsidP="009C7D08">
            <w:r>
              <w:t> </w:t>
            </w:r>
          </w:p>
        </w:tc>
        <w:tc>
          <w:tcPr>
            <w:tcW w:w="1924" w:type="pct"/>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14:paraId="3F7387C0" w14:textId="77777777" w:rsidR="00E75648" w:rsidRDefault="00E75648" w:rsidP="009C7D08">
            <w:r>
              <w:t> </w:t>
            </w:r>
          </w:p>
        </w:tc>
        <w:tc>
          <w:tcPr>
            <w:tcW w:w="1097" w:type="pct"/>
            <w:tcBorders>
              <w:top w:val="nil"/>
              <w:left w:val="nil"/>
              <w:bottom w:val="single" w:sz="8" w:space="0" w:color="auto"/>
              <w:right w:val="single" w:sz="12" w:space="0" w:color="auto"/>
            </w:tcBorders>
            <w:shd w:val="clear" w:color="auto" w:fill="D9D9D9"/>
            <w:tcMar>
              <w:top w:w="0" w:type="dxa"/>
              <w:left w:w="108" w:type="dxa"/>
              <w:bottom w:w="0" w:type="dxa"/>
              <w:right w:w="108" w:type="dxa"/>
            </w:tcMar>
            <w:hideMark/>
          </w:tcPr>
          <w:p w14:paraId="4E2BA4F8" w14:textId="77777777" w:rsidR="00E75648" w:rsidRDefault="00E75648" w:rsidP="009C7D08">
            <w:pPr>
              <w:jc w:val="right"/>
            </w:pPr>
            <w:r>
              <w:t> </w:t>
            </w:r>
          </w:p>
        </w:tc>
      </w:tr>
      <w:tr w:rsidR="00E75648" w14:paraId="3CE61F89" w14:textId="77777777" w:rsidTr="00F84B31">
        <w:trPr>
          <w:trHeight w:val="250"/>
        </w:trPr>
        <w:tc>
          <w:tcPr>
            <w:tcW w:w="439" w:type="pct"/>
            <w:vMerge w:val="restart"/>
            <w:tcBorders>
              <w:top w:val="nil"/>
              <w:left w:val="single" w:sz="12" w:space="0" w:color="auto"/>
              <w:right w:val="single" w:sz="8" w:space="0" w:color="auto"/>
            </w:tcBorders>
            <w:tcMar>
              <w:top w:w="0" w:type="dxa"/>
              <w:left w:w="108" w:type="dxa"/>
              <w:bottom w:w="0" w:type="dxa"/>
              <w:right w:w="108" w:type="dxa"/>
            </w:tcMar>
            <w:hideMark/>
          </w:tcPr>
          <w:p w14:paraId="5E16F2A2" w14:textId="77777777" w:rsidR="00E75648" w:rsidRDefault="00E75648" w:rsidP="009C7D08">
            <w:r>
              <w:t>2015</w:t>
            </w:r>
          </w:p>
          <w:p w14:paraId="3167097E" w14:textId="77777777" w:rsidR="00E75648" w:rsidRDefault="00E75648" w:rsidP="009C7D08">
            <w:r>
              <w:t> </w:t>
            </w:r>
          </w:p>
          <w:p w14:paraId="58E3FC0A" w14:textId="77777777" w:rsidR="00E75648" w:rsidRDefault="00E75648" w:rsidP="009C7D08">
            <w:r>
              <w:t> </w:t>
            </w:r>
          </w:p>
          <w:p w14:paraId="3D490099" w14:textId="77777777" w:rsidR="00E75648" w:rsidRDefault="00E75648" w:rsidP="009C7D08">
            <w:r>
              <w:t> </w:t>
            </w:r>
          </w:p>
          <w:p w14:paraId="34A8B5D0" w14:textId="77777777" w:rsidR="00E75648" w:rsidRDefault="00E75648" w:rsidP="009C7D08">
            <w:r>
              <w:t> </w:t>
            </w:r>
          </w:p>
          <w:p w14:paraId="4753CA4C" w14:textId="77777777" w:rsidR="00E75648" w:rsidRDefault="00E75648" w:rsidP="009C7D08">
            <w:r>
              <w:t> </w:t>
            </w:r>
          </w:p>
          <w:p w14:paraId="7484A85D" w14:textId="77777777" w:rsidR="00E75648" w:rsidRDefault="00E75648" w:rsidP="009C7D08">
            <w:r>
              <w:t> </w:t>
            </w:r>
          </w:p>
          <w:p w14:paraId="203BE110" w14:textId="77777777" w:rsidR="00E75648" w:rsidRDefault="00E75648" w:rsidP="009C7D08">
            <w:r>
              <w:t> </w:t>
            </w:r>
          </w:p>
          <w:p w14:paraId="3435DE3B" w14:textId="77777777" w:rsidR="00E75648" w:rsidRDefault="00E75648" w:rsidP="009C7D08">
            <w:r>
              <w:t> </w:t>
            </w:r>
          </w:p>
          <w:p w14:paraId="119B58D9" w14:textId="77777777" w:rsidR="00E75648" w:rsidRDefault="00E75648" w:rsidP="009C7D08">
            <w:r>
              <w:t> </w:t>
            </w:r>
          </w:p>
        </w:tc>
        <w:tc>
          <w:tcPr>
            <w:tcW w:w="1539" w:type="pct"/>
            <w:vMerge w:val="restart"/>
            <w:tcBorders>
              <w:top w:val="nil"/>
              <w:left w:val="nil"/>
              <w:right w:val="single" w:sz="8" w:space="0" w:color="auto"/>
            </w:tcBorders>
            <w:tcMar>
              <w:top w:w="0" w:type="dxa"/>
              <w:left w:w="108" w:type="dxa"/>
              <w:bottom w:w="0" w:type="dxa"/>
              <w:right w:w="108" w:type="dxa"/>
            </w:tcMar>
            <w:hideMark/>
          </w:tcPr>
          <w:p w14:paraId="0FAC4764" w14:textId="77777777" w:rsidR="00E75648" w:rsidRDefault="00E75648" w:rsidP="009C7D08">
            <w:r>
              <w:rPr>
                <w:i/>
                <w:iCs/>
              </w:rPr>
              <w:t>Core</w:t>
            </w:r>
            <w:r>
              <w:t>-bijdrage</w:t>
            </w:r>
          </w:p>
          <w:p w14:paraId="5F3B708A" w14:textId="77777777" w:rsidR="00E75648" w:rsidRDefault="00E75648" w:rsidP="009C7D08">
            <w:r>
              <w:t> </w:t>
            </w:r>
          </w:p>
          <w:p w14:paraId="0659343B" w14:textId="77777777" w:rsidR="00E75648" w:rsidRDefault="00E75648" w:rsidP="009C7D08">
            <w:r>
              <w:t> </w:t>
            </w:r>
          </w:p>
          <w:p w14:paraId="27356399" w14:textId="77777777" w:rsidR="00E75648" w:rsidRDefault="00E75648" w:rsidP="009C7D08">
            <w:r>
              <w:t> </w:t>
            </w:r>
          </w:p>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463AA5D8" w14:textId="77777777" w:rsidR="00E75648" w:rsidRDefault="00E75648" w:rsidP="009C7D08">
            <w:r>
              <w:t>1. Verenigde Staten</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52F93153" w14:textId="54785025" w:rsidR="00E75648" w:rsidRDefault="008F25FA" w:rsidP="009C7D08">
            <w:pPr>
              <w:jc w:val="right"/>
            </w:pPr>
            <w:r>
              <w:t> 88,1</w:t>
            </w:r>
          </w:p>
        </w:tc>
      </w:tr>
      <w:tr w:rsidR="00E75648" w14:paraId="136F917E" w14:textId="77777777" w:rsidTr="00F84B31">
        <w:trPr>
          <w:trHeight w:val="250"/>
        </w:trPr>
        <w:tc>
          <w:tcPr>
            <w:tcW w:w="439" w:type="pct"/>
            <w:vMerge/>
            <w:tcBorders>
              <w:left w:val="single" w:sz="12" w:space="0" w:color="auto"/>
              <w:right w:val="single" w:sz="8" w:space="0" w:color="auto"/>
            </w:tcBorders>
            <w:tcMar>
              <w:top w:w="0" w:type="dxa"/>
              <w:left w:w="108" w:type="dxa"/>
              <w:bottom w:w="0" w:type="dxa"/>
              <w:right w:w="108" w:type="dxa"/>
            </w:tcMar>
            <w:hideMark/>
          </w:tcPr>
          <w:p w14:paraId="63549133" w14:textId="77777777" w:rsidR="00E75648" w:rsidRDefault="00E75648" w:rsidP="009C7D08"/>
        </w:tc>
        <w:tc>
          <w:tcPr>
            <w:tcW w:w="1539" w:type="pct"/>
            <w:vMerge/>
            <w:tcBorders>
              <w:left w:val="nil"/>
              <w:right w:val="single" w:sz="8" w:space="0" w:color="auto"/>
            </w:tcBorders>
            <w:tcMar>
              <w:top w:w="0" w:type="dxa"/>
              <w:left w:w="108" w:type="dxa"/>
              <w:bottom w:w="0" w:type="dxa"/>
              <w:right w:w="108" w:type="dxa"/>
            </w:tcMar>
            <w:hideMark/>
          </w:tcPr>
          <w:p w14:paraId="3E5347D7" w14:textId="77777777" w:rsidR="00E75648" w:rsidRDefault="00E75648" w:rsidP="009C7D08"/>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1BF7D5AE" w14:textId="77777777" w:rsidR="00E75648" w:rsidRDefault="00E75648" w:rsidP="009C7D08">
            <w:r>
              <w:t>2. Japan</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0DCD2E22" w14:textId="7B8F9C15" w:rsidR="00E75648" w:rsidRDefault="008F25FA" w:rsidP="009C7D08">
            <w:pPr>
              <w:jc w:val="right"/>
            </w:pPr>
            <w:r>
              <w:t> 43,4</w:t>
            </w:r>
          </w:p>
        </w:tc>
      </w:tr>
      <w:tr w:rsidR="00E75648" w14:paraId="6C8655A9" w14:textId="77777777" w:rsidTr="00F84B31">
        <w:trPr>
          <w:trHeight w:val="251"/>
        </w:trPr>
        <w:tc>
          <w:tcPr>
            <w:tcW w:w="439" w:type="pct"/>
            <w:vMerge/>
            <w:tcBorders>
              <w:left w:val="single" w:sz="12" w:space="0" w:color="auto"/>
              <w:right w:val="single" w:sz="8" w:space="0" w:color="auto"/>
            </w:tcBorders>
            <w:tcMar>
              <w:top w:w="0" w:type="dxa"/>
              <w:left w:w="108" w:type="dxa"/>
              <w:bottom w:w="0" w:type="dxa"/>
              <w:right w:w="108" w:type="dxa"/>
            </w:tcMar>
            <w:hideMark/>
          </w:tcPr>
          <w:p w14:paraId="3A2D38A9" w14:textId="77777777" w:rsidR="00E75648" w:rsidRDefault="00E75648" w:rsidP="009C7D08"/>
        </w:tc>
        <w:tc>
          <w:tcPr>
            <w:tcW w:w="1539" w:type="pct"/>
            <w:vMerge/>
            <w:tcBorders>
              <w:left w:val="nil"/>
              <w:right w:val="single" w:sz="8" w:space="0" w:color="auto"/>
            </w:tcBorders>
            <w:tcMar>
              <w:top w:w="0" w:type="dxa"/>
              <w:left w:w="108" w:type="dxa"/>
              <w:bottom w:w="0" w:type="dxa"/>
              <w:right w:w="108" w:type="dxa"/>
            </w:tcMar>
            <w:hideMark/>
          </w:tcPr>
          <w:p w14:paraId="73E37379" w14:textId="77777777" w:rsidR="00E75648" w:rsidRDefault="00E75648" w:rsidP="009C7D08"/>
        </w:tc>
        <w:tc>
          <w:tcPr>
            <w:tcW w:w="1924" w:type="pct"/>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7D1DF1E" w14:textId="77777777" w:rsidR="00E75648" w:rsidRDefault="00E75648" w:rsidP="009C7D08">
            <w:r>
              <w:t>3. Duitsland</w:t>
            </w:r>
          </w:p>
        </w:tc>
        <w:tc>
          <w:tcPr>
            <w:tcW w:w="1097" w:type="pct"/>
            <w:tcBorders>
              <w:top w:val="nil"/>
              <w:left w:val="nil"/>
              <w:bottom w:val="single" w:sz="8" w:space="0" w:color="auto"/>
              <w:right w:val="single" w:sz="12" w:space="0" w:color="auto"/>
            </w:tcBorders>
            <w:shd w:val="clear" w:color="auto" w:fill="FFFFFF" w:themeFill="background1"/>
            <w:tcMar>
              <w:top w:w="0" w:type="dxa"/>
              <w:left w:w="108" w:type="dxa"/>
              <w:bottom w:w="0" w:type="dxa"/>
              <w:right w:w="108" w:type="dxa"/>
            </w:tcMar>
            <w:hideMark/>
          </w:tcPr>
          <w:p w14:paraId="49696CF9" w14:textId="165FA8C1" w:rsidR="00E75648" w:rsidRPr="00082D88" w:rsidRDefault="008F25FA" w:rsidP="009C7D08">
            <w:pPr>
              <w:jc w:val="right"/>
            </w:pPr>
            <w:r>
              <w:t>29,8</w:t>
            </w:r>
          </w:p>
        </w:tc>
      </w:tr>
      <w:tr w:rsidR="00E75648" w14:paraId="022BBDF9" w14:textId="77777777" w:rsidTr="00F84B31">
        <w:trPr>
          <w:trHeight w:val="250"/>
        </w:trPr>
        <w:tc>
          <w:tcPr>
            <w:tcW w:w="439" w:type="pct"/>
            <w:vMerge/>
            <w:tcBorders>
              <w:left w:val="single" w:sz="12" w:space="0" w:color="auto"/>
              <w:right w:val="single" w:sz="8" w:space="0" w:color="auto"/>
            </w:tcBorders>
            <w:tcMar>
              <w:top w:w="0" w:type="dxa"/>
              <w:left w:w="108" w:type="dxa"/>
              <w:bottom w:w="0" w:type="dxa"/>
              <w:right w:w="108" w:type="dxa"/>
            </w:tcMar>
            <w:hideMark/>
          </w:tcPr>
          <w:p w14:paraId="78911FFD" w14:textId="77777777" w:rsidR="00E75648" w:rsidRDefault="00E75648" w:rsidP="009C7D08"/>
        </w:tc>
        <w:tc>
          <w:tcPr>
            <w:tcW w:w="1539" w:type="pct"/>
            <w:vMerge/>
            <w:tcBorders>
              <w:left w:val="nil"/>
              <w:bottom w:val="single" w:sz="8" w:space="0" w:color="auto"/>
              <w:right w:val="single" w:sz="8" w:space="0" w:color="auto"/>
            </w:tcBorders>
            <w:tcMar>
              <w:top w:w="0" w:type="dxa"/>
              <w:left w:w="108" w:type="dxa"/>
              <w:bottom w:w="0" w:type="dxa"/>
              <w:right w:w="108" w:type="dxa"/>
            </w:tcMar>
            <w:hideMark/>
          </w:tcPr>
          <w:p w14:paraId="728526D1" w14:textId="77777777" w:rsidR="00E75648" w:rsidRDefault="00E75648" w:rsidP="009C7D08"/>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792F0E24" w14:textId="77777777" w:rsidR="00E75648" w:rsidRPr="00724360" w:rsidRDefault="00E75648" w:rsidP="009C7D08">
            <w:pPr>
              <w:rPr>
                <w:b/>
              </w:rPr>
            </w:pPr>
            <w:r w:rsidRPr="00724360">
              <w:rPr>
                <w:b/>
              </w:rPr>
              <w:t>11. Nederland</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1D3E82C7" w14:textId="5011C773" w:rsidR="00E75648" w:rsidRDefault="008F25FA" w:rsidP="009C7D08">
            <w:pPr>
              <w:jc w:val="right"/>
            </w:pPr>
            <w:r>
              <w:t>10,0</w:t>
            </w:r>
          </w:p>
        </w:tc>
      </w:tr>
      <w:tr w:rsidR="00E75648" w14:paraId="63EB13E5" w14:textId="77777777" w:rsidTr="00F84B31">
        <w:trPr>
          <w:trHeight w:val="250"/>
        </w:trPr>
        <w:tc>
          <w:tcPr>
            <w:tcW w:w="439" w:type="pct"/>
            <w:vMerge/>
            <w:tcBorders>
              <w:left w:val="single" w:sz="12" w:space="0" w:color="auto"/>
              <w:right w:val="single" w:sz="8" w:space="0" w:color="auto"/>
            </w:tcBorders>
            <w:tcMar>
              <w:top w:w="0" w:type="dxa"/>
              <w:left w:w="108" w:type="dxa"/>
              <w:bottom w:w="0" w:type="dxa"/>
              <w:right w:w="108" w:type="dxa"/>
            </w:tcMar>
            <w:hideMark/>
          </w:tcPr>
          <w:p w14:paraId="6323BD57" w14:textId="77777777" w:rsidR="00E75648" w:rsidRDefault="00E75648" w:rsidP="009C7D08"/>
        </w:tc>
        <w:tc>
          <w:tcPr>
            <w:tcW w:w="1539" w:type="pct"/>
            <w:vMerge w:val="restart"/>
            <w:tcBorders>
              <w:top w:val="nil"/>
              <w:left w:val="nil"/>
              <w:right w:val="single" w:sz="8" w:space="0" w:color="auto"/>
            </w:tcBorders>
            <w:tcMar>
              <w:top w:w="0" w:type="dxa"/>
              <w:left w:w="108" w:type="dxa"/>
              <w:bottom w:w="0" w:type="dxa"/>
              <w:right w:w="108" w:type="dxa"/>
            </w:tcMar>
            <w:hideMark/>
          </w:tcPr>
          <w:p w14:paraId="6D23A22C" w14:textId="77777777" w:rsidR="00E75648" w:rsidRDefault="00E75648" w:rsidP="009C7D08">
            <w:r>
              <w:rPr>
                <w:i/>
                <w:iCs/>
              </w:rPr>
              <w:t>Non-core</w:t>
            </w:r>
            <w:r>
              <w:t>-bijdragen</w:t>
            </w:r>
          </w:p>
          <w:p w14:paraId="0B117497" w14:textId="77777777" w:rsidR="00E75648" w:rsidRDefault="00E75648" w:rsidP="009C7D08">
            <w:r>
              <w:t> </w:t>
            </w:r>
          </w:p>
          <w:p w14:paraId="37B2690C" w14:textId="77777777" w:rsidR="00E75648" w:rsidRDefault="00E75648" w:rsidP="009C7D08">
            <w:r>
              <w:t> </w:t>
            </w:r>
          </w:p>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5274C0EF" w14:textId="77777777" w:rsidR="00E75648" w:rsidRDefault="00E75648" w:rsidP="009C7D08">
            <w:r>
              <w:t>1. Verenigde Naties</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641A66EA" w14:textId="0CA1EB4B" w:rsidR="00E75648" w:rsidRDefault="008F25FA" w:rsidP="009C7D08">
            <w:pPr>
              <w:jc w:val="right"/>
            </w:pPr>
            <w:r>
              <w:t>35,3</w:t>
            </w:r>
          </w:p>
        </w:tc>
      </w:tr>
      <w:tr w:rsidR="00E75648" w14:paraId="41560B20" w14:textId="77777777" w:rsidTr="00F84B31">
        <w:trPr>
          <w:trHeight w:val="263"/>
        </w:trPr>
        <w:tc>
          <w:tcPr>
            <w:tcW w:w="439" w:type="pct"/>
            <w:vMerge/>
            <w:tcBorders>
              <w:left w:val="single" w:sz="12" w:space="0" w:color="auto"/>
              <w:right w:val="single" w:sz="8" w:space="0" w:color="auto"/>
            </w:tcBorders>
            <w:tcMar>
              <w:top w:w="0" w:type="dxa"/>
              <w:left w:w="108" w:type="dxa"/>
              <w:bottom w:w="0" w:type="dxa"/>
              <w:right w:w="108" w:type="dxa"/>
            </w:tcMar>
            <w:hideMark/>
          </w:tcPr>
          <w:p w14:paraId="4C671FD1" w14:textId="77777777" w:rsidR="00E75648" w:rsidRDefault="00E75648" w:rsidP="009C7D08"/>
        </w:tc>
        <w:tc>
          <w:tcPr>
            <w:tcW w:w="1539" w:type="pct"/>
            <w:vMerge/>
            <w:tcBorders>
              <w:left w:val="nil"/>
              <w:right w:val="single" w:sz="8" w:space="0" w:color="auto"/>
            </w:tcBorders>
            <w:tcMar>
              <w:top w:w="0" w:type="dxa"/>
              <w:left w:w="108" w:type="dxa"/>
              <w:bottom w:w="0" w:type="dxa"/>
              <w:right w:w="108" w:type="dxa"/>
            </w:tcMar>
            <w:hideMark/>
          </w:tcPr>
          <w:p w14:paraId="2B3C76C9" w14:textId="77777777" w:rsidR="00E75648" w:rsidRDefault="00E75648" w:rsidP="009C7D08"/>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49A5B909" w14:textId="77777777" w:rsidR="00E75648" w:rsidRDefault="00E75648" w:rsidP="009C7D08">
            <w:r>
              <w:t>2. Verenigde Staten</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75B87B10" w14:textId="34B24CC0" w:rsidR="00E75648" w:rsidRDefault="008F25FA" w:rsidP="009C7D08">
            <w:pPr>
              <w:jc w:val="right"/>
            </w:pPr>
            <w:r>
              <w:t>22,7</w:t>
            </w:r>
          </w:p>
        </w:tc>
      </w:tr>
      <w:tr w:rsidR="00E75648" w14:paraId="101AB16E" w14:textId="77777777" w:rsidTr="00F84B31">
        <w:trPr>
          <w:trHeight w:val="250"/>
        </w:trPr>
        <w:tc>
          <w:tcPr>
            <w:tcW w:w="439" w:type="pct"/>
            <w:vMerge/>
            <w:tcBorders>
              <w:left w:val="single" w:sz="12" w:space="0" w:color="auto"/>
              <w:right w:val="single" w:sz="8" w:space="0" w:color="auto"/>
            </w:tcBorders>
            <w:tcMar>
              <w:top w:w="0" w:type="dxa"/>
              <w:left w:w="108" w:type="dxa"/>
              <w:bottom w:w="0" w:type="dxa"/>
              <w:right w:w="108" w:type="dxa"/>
            </w:tcMar>
            <w:hideMark/>
          </w:tcPr>
          <w:p w14:paraId="1CF59D46" w14:textId="77777777" w:rsidR="00E75648" w:rsidRDefault="00E75648" w:rsidP="009C7D08"/>
        </w:tc>
        <w:tc>
          <w:tcPr>
            <w:tcW w:w="1539" w:type="pct"/>
            <w:vMerge/>
            <w:tcBorders>
              <w:left w:val="nil"/>
              <w:right w:val="single" w:sz="8" w:space="0" w:color="auto"/>
            </w:tcBorders>
            <w:tcMar>
              <w:top w:w="0" w:type="dxa"/>
              <w:left w:w="108" w:type="dxa"/>
              <w:bottom w:w="0" w:type="dxa"/>
              <w:right w:w="108" w:type="dxa"/>
            </w:tcMar>
            <w:hideMark/>
          </w:tcPr>
          <w:p w14:paraId="159F4752" w14:textId="77777777" w:rsidR="00E75648" w:rsidRDefault="00E75648" w:rsidP="009C7D08"/>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1A7FD3CE" w14:textId="77777777" w:rsidR="00E75648" w:rsidRDefault="00E75648" w:rsidP="009C7D08">
            <w:r>
              <w:t xml:space="preserve">3. Europese Commissie </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34ED5676" w14:textId="77A5B2A9" w:rsidR="00E75648" w:rsidRDefault="008F25FA" w:rsidP="009C7D08">
            <w:pPr>
              <w:jc w:val="right"/>
            </w:pPr>
            <w:r>
              <w:t>20,2</w:t>
            </w:r>
          </w:p>
        </w:tc>
      </w:tr>
      <w:tr w:rsidR="00E75648" w14:paraId="10ED0709" w14:textId="77777777" w:rsidTr="00F84B31">
        <w:trPr>
          <w:trHeight w:val="229"/>
        </w:trPr>
        <w:tc>
          <w:tcPr>
            <w:tcW w:w="439" w:type="pct"/>
            <w:vMerge/>
            <w:tcBorders>
              <w:left w:val="single" w:sz="12" w:space="0" w:color="auto"/>
              <w:right w:val="single" w:sz="8" w:space="0" w:color="auto"/>
            </w:tcBorders>
            <w:tcMar>
              <w:top w:w="0" w:type="dxa"/>
              <w:left w:w="108" w:type="dxa"/>
              <w:bottom w:w="0" w:type="dxa"/>
              <w:right w:w="108" w:type="dxa"/>
            </w:tcMar>
          </w:tcPr>
          <w:p w14:paraId="6B158427" w14:textId="77777777" w:rsidR="00E75648" w:rsidRDefault="00E75648" w:rsidP="009C7D08"/>
        </w:tc>
        <w:tc>
          <w:tcPr>
            <w:tcW w:w="1539" w:type="pct"/>
            <w:vMerge/>
            <w:tcBorders>
              <w:left w:val="nil"/>
              <w:bottom w:val="single" w:sz="8" w:space="0" w:color="auto"/>
              <w:right w:val="single" w:sz="8" w:space="0" w:color="auto"/>
            </w:tcBorders>
            <w:tcMar>
              <w:top w:w="0" w:type="dxa"/>
              <w:left w:w="108" w:type="dxa"/>
              <w:bottom w:w="0" w:type="dxa"/>
              <w:right w:w="108" w:type="dxa"/>
            </w:tcMar>
          </w:tcPr>
          <w:p w14:paraId="337BB90A" w14:textId="77777777" w:rsidR="00E75648" w:rsidRDefault="00E75648" w:rsidP="009C7D08"/>
        </w:tc>
        <w:tc>
          <w:tcPr>
            <w:tcW w:w="1924" w:type="pct"/>
            <w:tcBorders>
              <w:top w:val="nil"/>
              <w:left w:val="nil"/>
              <w:bottom w:val="single" w:sz="8" w:space="0" w:color="auto"/>
              <w:right w:val="single" w:sz="8" w:space="0" w:color="auto"/>
            </w:tcBorders>
            <w:tcMar>
              <w:top w:w="0" w:type="dxa"/>
              <w:left w:w="108" w:type="dxa"/>
              <w:bottom w:w="0" w:type="dxa"/>
              <w:right w:w="108" w:type="dxa"/>
            </w:tcMar>
          </w:tcPr>
          <w:p w14:paraId="2C768BA0" w14:textId="77777777" w:rsidR="00E75648" w:rsidRPr="00724360" w:rsidRDefault="00E75648" w:rsidP="009C7D08">
            <w:pPr>
              <w:rPr>
                <w:b/>
              </w:rPr>
            </w:pPr>
            <w:r w:rsidRPr="00724360">
              <w:rPr>
                <w:b/>
              </w:rPr>
              <w:t>10. Nederland</w:t>
            </w:r>
          </w:p>
        </w:tc>
        <w:tc>
          <w:tcPr>
            <w:tcW w:w="1097" w:type="pct"/>
            <w:tcBorders>
              <w:top w:val="nil"/>
              <w:left w:val="nil"/>
              <w:bottom w:val="single" w:sz="8" w:space="0" w:color="auto"/>
              <w:right w:val="single" w:sz="12" w:space="0" w:color="auto"/>
            </w:tcBorders>
            <w:tcMar>
              <w:top w:w="0" w:type="dxa"/>
              <w:left w:w="108" w:type="dxa"/>
              <w:bottom w:w="0" w:type="dxa"/>
              <w:right w:w="108" w:type="dxa"/>
            </w:tcMar>
          </w:tcPr>
          <w:p w14:paraId="5AD74E8B" w14:textId="7CD44270" w:rsidR="00E75648" w:rsidRDefault="008F25FA" w:rsidP="009C7D08">
            <w:pPr>
              <w:jc w:val="right"/>
            </w:pPr>
            <w:r>
              <w:t>8,4</w:t>
            </w:r>
          </w:p>
        </w:tc>
      </w:tr>
      <w:tr w:rsidR="00E75648" w14:paraId="3394FA4F" w14:textId="77777777" w:rsidTr="00F84B31">
        <w:trPr>
          <w:trHeight w:val="250"/>
        </w:trPr>
        <w:tc>
          <w:tcPr>
            <w:tcW w:w="439" w:type="pct"/>
            <w:vMerge/>
            <w:tcBorders>
              <w:left w:val="single" w:sz="12" w:space="0" w:color="auto"/>
              <w:right w:val="single" w:sz="8" w:space="0" w:color="auto"/>
            </w:tcBorders>
            <w:tcMar>
              <w:top w:w="0" w:type="dxa"/>
              <w:left w:w="108" w:type="dxa"/>
              <w:bottom w:w="0" w:type="dxa"/>
              <w:right w:w="108" w:type="dxa"/>
            </w:tcMar>
            <w:hideMark/>
          </w:tcPr>
          <w:p w14:paraId="7033A441" w14:textId="77777777" w:rsidR="00E75648" w:rsidRDefault="00E75648" w:rsidP="009C7D08"/>
        </w:tc>
        <w:tc>
          <w:tcPr>
            <w:tcW w:w="1539" w:type="pct"/>
            <w:vMerge w:val="restart"/>
            <w:tcBorders>
              <w:top w:val="nil"/>
              <w:left w:val="nil"/>
              <w:right w:val="single" w:sz="8" w:space="0" w:color="auto"/>
            </w:tcBorders>
            <w:shd w:val="clear" w:color="auto" w:fill="FFFFFF" w:themeFill="background1"/>
            <w:tcMar>
              <w:top w:w="0" w:type="dxa"/>
              <w:left w:w="108" w:type="dxa"/>
              <w:bottom w:w="0" w:type="dxa"/>
              <w:right w:w="108" w:type="dxa"/>
            </w:tcMar>
            <w:hideMark/>
          </w:tcPr>
          <w:p w14:paraId="08315677" w14:textId="77777777" w:rsidR="00E75648" w:rsidRPr="0063594B" w:rsidRDefault="00E75648" w:rsidP="009C7D08">
            <w:pPr>
              <w:rPr>
                <w:lang w:val="en-US"/>
              </w:rPr>
            </w:pPr>
            <w:r w:rsidRPr="0063594B">
              <w:rPr>
                <w:lang w:val="en-US"/>
              </w:rPr>
              <w:t>Total bijdrage</w:t>
            </w:r>
          </w:p>
          <w:p w14:paraId="02F49C11" w14:textId="77777777" w:rsidR="00E75648" w:rsidRPr="0063594B" w:rsidRDefault="00E75648" w:rsidP="009C7D08">
            <w:pPr>
              <w:rPr>
                <w:lang w:val="en-US"/>
              </w:rPr>
            </w:pPr>
          </w:p>
          <w:p w14:paraId="7D13F324" w14:textId="77777777" w:rsidR="00E75648" w:rsidRPr="0063594B" w:rsidRDefault="00E75648" w:rsidP="009C7D08">
            <w:pPr>
              <w:rPr>
                <w:lang w:val="en-US"/>
              </w:rPr>
            </w:pPr>
            <w:r w:rsidRPr="0063594B">
              <w:rPr>
                <w:lang w:val="en-US"/>
              </w:rPr>
              <w:t> </w:t>
            </w:r>
          </w:p>
        </w:tc>
        <w:tc>
          <w:tcPr>
            <w:tcW w:w="1924" w:type="pct"/>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0163AA6A" w14:textId="2E1119BA" w:rsidR="00E75648" w:rsidRPr="00082D88" w:rsidRDefault="00E75648" w:rsidP="009C7D08">
            <w:r w:rsidRPr="00082D88">
              <w:t>1.</w:t>
            </w:r>
            <w:r w:rsidR="00BD4221">
              <w:t>Verenigde Staten</w:t>
            </w:r>
          </w:p>
        </w:tc>
        <w:tc>
          <w:tcPr>
            <w:tcW w:w="1097" w:type="pct"/>
            <w:tcBorders>
              <w:top w:val="nil"/>
              <w:left w:val="nil"/>
              <w:bottom w:val="single" w:sz="8" w:space="0" w:color="auto"/>
              <w:right w:val="single" w:sz="12" w:space="0" w:color="auto"/>
            </w:tcBorders>
            <w:shd w:val="clear" w:color="auto" w:fill="FFFFFF" w:themeFill="background1"/>
            <w:tcMar>
              <w:top w:w="0" w:type="dxa"/>
              <w:left w:w="108" w:type="dxa"/>
              <w:bottom w:w="0" w:type="dxa"/>
              <w:right w:w="108" w:type="dxa"/>
            </w:tcMar>
          </w:tcPr>
          <w:p w14:paraId="678D5223" w14:textId="76CD4294" w:rsidR="00E75648" w:rsidRPr="00082D88" w:rsidRDefault="008F25FA" w:rsidP="009C7D08">
            <w:pPr>
              <w:jc w:val="right"/>
              <w:rPr>
                <w:color w:val="000000"/>
              </w:rPr>
            </w:pPr>
            <w:r>
              <w:rPr>
                <w:color w:val="000000"/>
              </w:rPr>
              <w:t>110,8</w:t>
            </w:r>
          </w:p>
        </w:tc>
      </w:tr>
      <w:tr w:rsidR="00E75648" w14:paraId="0A1DF528" w14:textId="77777777" w:rsidTr="00F84B31">
        <w:trPr>
          <w:trHeight w:val="263"/>
        </w:trPr>
        <w:tc>
          <w:tcPr>
            <w:tcW w:w="439" w:type="pct"/>
            <w:vMerge/>
            <w:tcBorders>
              <w:left w:val="single" w:sz="12" w:space="0" w:color="auto"/>
              <w:right w:val="single" w:sz="8" w:space="0" w:color="auto"/>
            </w:tcBorders>
            <w:tcMar>
              <w:top w:w="0" w:type="dxa"/>
              <w:left w:w="108" w:type="dxa"/>
              <w:bottom w:w="0" w:type="dxa"/>
              <w:right w:w="108" w:type="dxa"/>
            </w:tcMar>
            <w:hideMark/>
          </w:tcPr>
          <w:p w14:paraId="755375B9" w14:textId="77777777" w:rsidR="00E75648" w:rsidRDefault="00E75648" w:rsidP="009C7D08"/>
        </w:tc>
        <w:tc>
          <w:tcPr>
            <w:tcW w:w="1539" w:type="pct"/>
            <w:vMerge/>
            <w:tcBorders>
              <w:left w:val="nil"/>
              <w:right w:val="single" w:sz="8" w:space="0" w:color="auto"/>
            </w:tcBorders>
            <w:shd w:val="clear" w:color="auto" w:fill="FFFFFF" w:themeFill="background1"/>
            <w:tcMar>
              <w:top w:w="0" w:type="dxa"/>
              <w:left w:w="108" w:type="dxa"/>
              <w:bottom w:w="0" w:type="dxa"/>
              <w:right w:w="108" w:type="dxa"/>
            </w:tcMar>
            <w:hideMark/>
          </w:tcPr>
          <w:p w14:paraId="1DD82FEC" w14:textId="77777777" w:rsidR="00E75648" w:rsidRPr="00082D88" w:rsidRDefault="00E75648" w:rsidP="009C7D08"/>
        </w:tc>
        <w:tc>
          <w:tcPr>
            <w:tcW w:w="1924" w:type="pct"/>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09B33200" w14:textId="77777777" w:rsidR="00E75648" w:rsidRPr="00082D88" w:rsidRDefault="00E75648" w:rsidP="009C7D08">
            <w:r w:rsidRPr="00082D88">
              <w:t>2.Japan</w:t>
            </w:r>
          </w:p>
        </w:tc>
        <w:tc>
          <w:tcPr>
            <w:tcW w:w="1097" w:type="pct"/>
            <w:tcBorders>
              <w:top w:val="nil"/>
              <w:left w:val="nil"/>
              <w:bottom w:val="single" w:sz="8" w:space="0" w:color="auto"/>
              <w:right w:val="single" w:sz="12" w:space="0" w:color="auto"/>
            </w:tcBorders>
            <w:shd w:val="clear" w:color="auto" w:fill="FFFFFF" w:themeFill="background1"/>
            <w:tcMar>
              <w:top w:w="0" w:type="dxa"/>
              <w:left w:w="108" w:type="dxa"/>
              <w:bottom w:w="0" w:type="dxa"/>
              <w:right w:w="108" w:type="dxa"/>
            </w:tcMar>
          </w:tcPr>
          <w:p w14:paraId="3A91E57E" w14:textId="77BB69E6" w:rsidR="00E75648" w:rsidRPr="00082D88" w:rsidRDefault="008F25FA" w:rsidP="009C7D08">
            <w:pPr>
              <w:jc w:val="right"/>
              <w:rPr>
                <w:color w:val="000000"/>
              </w:rPr>
            </w:pPr>
            <w:r>
              <w:rPr>
                <w:color w:val="000000"/>
              </w:rPr>
              <w:t>48,0</w:t>
            </w:r>
          </w:p>
        </w:tc>
      </w:tr>
      <w:tr w:rsidR="00E75648" w14:paraId="221319B0" w14:textId="77777777" w:rsidTr="00F84B31">
        <w:trPr>
          <w:trHeight w:val="250"/>
        </w:trPr>
        <w:tc>
          <w:tcPr>
            <w:tcW w:w="439" w:type="pct"/>
            <w:vMerge/>
            <w:tcBorders>
              <w:left w:val="single" w:sz="12" w:space="0" w:color="auto"/>
              <w:right w:val="single" w:sz="8" w:space="0" w:color="auto"/>
            </w:tcBorders>
            <w:tcMar>
              <w:top w:w="0" w:type="dxa"/>
              <w:left w:w="108" w:type="dxa"/>
              <w:bottom w:w="0" w:type="dxa"/>
              <w:right w:w="108" w:type="dxa"/>
            </w:tcMar>
            <w:hideMark/>
          </w:tcPr>
          <w:p w14:paraId="3A52C5F7" w14:textId="77777777" w:rsidR="00E75648" w:rsidRDefault="00E75648" w:rsidP="009C7D08"/>
        </w:tc>
        <w:tc>
          <w:tcPr>
            <w:tcW w:w="1539" w:type="pct"/>
            <w:vMerge/>
            <w:tcBorders>
              <w:left w:val="nil"/>
              <w:right w:val="single" w:sz="8" w:space="0" w:color="auto"/>
            </w:tcBorders>
            <w:shd w:val="clear" w:color="auto" w:fill="FFFFFF" w:themeFill="background1"/>
            <w:tcMar>
              <w:top w:w="0" w:type="dxa"/>
              <w:left w:w="108" w:type="dxa"/>
              <w:bottom w:w="0" w:type="dxa"/>
              <w:right w:w="108" w:type="dxa"/>
            </w:tcMar>
            <w:hideMark/>
          </w:tcPr>
          <w:p w14:paraId="148164AF" w14:textId="77777777" w:rsidR="00E75648" w:rsidRPr="00082D88" w:rsidRDefault="00E75648" w:rsidP="009C7D08"/>
        </w:tc>
        <w:tc>
          <w:tcPr>
            <w:tcW w:w="1924" w:type="pct"/>
            <w:tcBorders>
              <w:top w:val="single" w:sz="8"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tcPr>
          <w:p w14:paraId="430039C8" w14:textId="453B14B7" w:rsidR="00E75648" w:rsidRPr="00082D88" w:rsidRDefault="00E75648" w:rsidP="009C7D08">
            <w:r w:rsidRPr="00082D88">
              <w:t>3.Fran</w:t>
            </w:r>
            <w:r w:rsidR="00BD4221">
              <w:t>krijk</w:t>
            </w:r>
          </w:p>
        </w:tc>
        <w:tc>
          <w:tcPr>
            <w:tcW w:w="1097" w:type="pct"/>
            <w:tcBorders>
              <w:top w:val="single" w:sz="8" w:space="0" w:color="auto"/>
              <w:left w:val="nil"/>
              <w:bottom w:val="single" w:sz="4" w:space="0" w:color="auto"/>
              <w:right w:val="single" w:sz="12" w:space="0" w:color="auto"/>
            </w:tcBorders>
            <w:shd w:val="clear" w:color="auto" w:fill="FFFFFF" w:themeFill="background1"/>
            <w:tcMar>
              <w:top w:w="0" w:type="dxa"/>
              <w:left w:w="108" w:type="dxa"/>
              <w:bottom w:w="0" w:type="dxa"/>
              <w:right w:w="108" w:type="dxa"/>
            </w:tcMar>
          </w:tcPr>
          <w:p w14:paraId="7AB58DF0" w14:textId="27618D4B" w:rsidR="00E75648" w:rsidRPr="00082D88" w:rsidRDefault="00D070F2" w:rsidP="009C7D08">
            <w:pPr>
              <w:jc w:val="right"/>
              <w:rPr>
                <w:color w:val="000000"/>
              </w:rPr>
            </w:pPr>
            <w:r>
              <w:rPr>
                <w:color w:val="000000"/>
              </w:rPr>
              <w:t>39,0</w:t>
            </w:r>
          </w:p>
        </w:tc>
      </w:tr>
      <w:tr w:rsidR="00E75648" w14:paraId="179800EF" w14:textId="77777777" w:rsidTr="008F25FA">
        <w:trPr>
          <w:trHeight w:val="245"/>
        </w:trPr>
        <w:tc>
          <w:tcPr>
            <w:tcW w:w="439" w:type="pct"/>
            <w:vMerge/>
            <w:tcBorders>
              <w:left w:val="single" w:sz="12" w:space="0" w:color="auto"/>
              <w:bottom w:val="single" w:sz="12" w:space="0" w:color="auto"/>
              <w:right w:val="single" w:sz="8" w:space="0" w:color="auto"/>
            </w:tcBorders>
            <w:tcMar>
              <w:top w:w="0" w:type="dxa"/>
              <w:left w:w="108" w:type="dxa"/>
              <w:bottom w:w="0" w:type="dxa"/>
              <w:right w:w="108" w:type="dxa"/>
            </w:tcMar>
          </w:tcPr>
          <w:p w14:paraId="51CD452F" w14:textId="77777777" w:rsidR="00E75648" w:rsidRDefault="00E75648" w:rsidP="009C7D08"/>
        </w:tc>
        <w:tc>
          <w:tcPr>
            <w:tcW w:w="1539" w:type="pct"/>
            <w:vMerge/>
            <w:tcBorders>
              <w:left w:val="nil"/>
              <w:bottom w:val="single" w:sz="12" w:space="0" w:color="auto"/>
              <w:right w:val="single" w:sz="8" w:space="0" w:color="auto"/>
            </w:tcBorders>
            <w:shd w:val="clear" w:color="auto" w:fill="FFFFFF" w:themeFill="background1"/>
            <w:tcMar>
              <w:top w:w="0" w:type="dxa"/>
              <w:left w:w="108" w:type="dxa"/>
              <w:bottom w:w="0" w:type="dxa"/>
              <w:right w:w="108" w:type="dxa"/>
            </w:tcMar>
          </w:tcPr>
          <w:p w14:paraId="4AE40A85" w14:textId="77777777" w:rsidR="00E75648" w:rsidRPr="00082D88" w:rsidRDefault="00E75648" w:rsidP="009C7D08"/>
        </w:tc>
        <w:tc>
          <w:tcPr>
            <w:tcW w:w="1924" w:type="pct"/>
            <w:tcBorders>
              <w:top w:val="single" w:sz="4" w:space="0" w:color="auto"/>
              <w:left w:val="nil"/>
              <w:bottom w:val="single" w:sz="12" w:space="0" w:color="auto"/>
              <w:right w:val="single" w:sz="8" w:space="0" w:color="auto"/>
            </w:tcBorders>
            <w:shd w:val="clear" w:color="auto" w:fill="FFFFFF" w:themeFill="background1"/>
            <w:tcMar>
              <w:top w:w="0" w:type="dxa"/>
              <w:left w:w="108" w:type="dxa"/>
              <w:bottom w:w="0" w:type="dxa"/>
              <w:right w:w="108" w:type="dxa"/>
            </w:tcMar>
          </w:tcPr>
          <w:p w14:paraId="2974601E" w14:textId="79E58B70" w:rsidR="008F25FA" w:rsidRPr="00724360" w:rsidRDefault="00E75648" w:rsidP="009C7D08">
            <w:pPr>
              <w:rPr>
                <w:b/>
              </w:rPr>
            </w:pPr>
            <w:r w:rsidRPr="00724360">
              <w:rPr>
                <w:b/>
              </w:rPr>
              <w:t>10. Nederland</w:t>
            </w:r>
          </w:p>
        </w:tc>
        <w:tc>
          <w:tcPr>
            <w:tcW w:w="1097" w:type="pct"/>
            <w:tcBorders>
              <w:top w:val="single" w:sz="4" w:space="0" w:color="auto"/>
              <w:left w:val="nil"/>
              <w:bottom w:val="single" w:sz="12" w:space="0" w:color="auto"/>
              <w:right w:val="single" w:sz="12" w:space="0" w:color="auto"/>
            </w:tcBorders>
            <w:shd w:val="clear" w:color="auto" w:fill="FFFFFF" w:themeFill="background1"/>
            <w:tcMar>
              <w:top w:w="0" w:type="dxa"/>
              <w:left w:w="108" w:type="dxa"/>
              <w:bottom w:w="0" w:type="dxa"/>
              <w:right w:w="108" w:type="dxa"/>
            </w:tcMar>
          </w:tcPr>
          <w:p w14:paraId="70982388" w14:textId="2CDA1B3A" w:rsidR="00E75648" w:rsidRPr="00082D88" w:rsidRDefault="00D070F2" w:rsidP="009C7D08">
            <w:pPr>
              <w:jc w:val="right"/>
            </w:pPr>
            <w:r>
              <w:t>18,4</w:t>
            </w:r>
          </w:p>
        </w:tc>
      </w:tr>
    </w:tbl>
    <w:p w14:paraId="4E2F248C" w14:textId="7348D9C2" w:rsidR="00CA2A15" w:rsidRDefault="00CA2A15"/>
    <w:p w14:paraId="4CD6D6E5" w14:textId="5ED4F407" w:rsidR="008F25FA" w:rsidRDefault="008F25FA"/>
    <w:p w14:paraId="2AA29852" w14:textId="59518F01" w:rsidR="008F25FA" w:rsidRDefault="008F25FA"/>
    <w:p w14:paraId="3798F71D" w14:textId="1976CB1D" w:rsidR="008F25FA" w:rsidRDefault="008F25FA">
      <w:bookmarkStart w:id="28" w:name="_GoBack"/>
      <w:bookmarkEnd w:id="28"/>
    </w:p>
    <w:p w14:paraId="5867E8B4" w14:textId="2CEB0CE0" w:rsidR="008F25FA" w:rsidRDefault="008F25FA"/>
    <w:p w14:paraId="5059B7DB" w14:textId="77777777" w:rsidR="008F25FA" w:rsidRDefault="008F25FA"/>
    <w:tbl>
      <w:tblPr>
        <w:tblW w:w="5000" w:type="pct"/>
        <w:tblCellMar>
          <w:left w:w="0" w:type="dxa"/>
          <w:right w:w="0" w:type="dxa"/>
        </w:tblCellMar>
        <w:tblLook w:val="04A0" w:firstRow="1" w:lastRow="0" w:firstColumn="1" w:lastColumn="0" w:noHBand="0" w:noVBand="1"/>
      </w:tblPr>
      <w:tblGrid>
        <w:gridCol w:w="677"/>
        <w:gridCol w:w="2369"/>
        <w:gridCol w:w="2962"/>
        <w:gridCol w:w="1689"/>
      </w:tblGrid>
      <w:tr w:rsidR="006E3770" w14:paraId="6362FE9A" w14:textId="77777777" w:rsidTr="00F84B31">
        <w:tc>
          <w:tcPr>
            <w:tcW w:w="439" w:type="pct"/>
            <w:tcBorders>
              <w:top w:val="single" w:sz="12" w:space="0" w:color="auto"/>
              <w:left w:val="single" w:sz="12"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31D305D9" w14:textId="32EF2BDA" w:rsidR="006E3770" w:rsidRDefault="006E3770" w:rsidP="006E3770">
            <w:pPr>
              <w:ind w:right="-211"/>
            </w:pPr>
            <w:r>
              <w:rPr>
                <w:b/>
                <w:bCs/>
              </w:rPr>
              <w:lastRenderedPageBreak/>
              <w:t>Jaar</w:t>
            </w:r>
          </w:p>
        </w:tc>
        <w:tc>
          <w:tcPr>
            <w:tcW w:w="1539" w:type="pct"/>
            <w:tcBorders>
              <w:top w:val="single" w:sz="12"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07942B7B" w14:textId="7DFCF195" w:rsidR="006E3770" w:rsidRDefault="006E3770" w:rsidP="006E3770">
            <w:pPr>
              <w:ind w:right="-211"/>
              <w:rPr>
                <w:i/>
                <w:iCs/>
              </w:rPr>
            </w:pPr>
            <w:r>
              <w:rPr>
                <w:b/>
                <w:bCs/>
              </w:rPr>
              <w:t>Bijdrage</w:t>
            </w:r>
          </w:p>
        </w:tc>
        <w:tc>
          <w:tcPr>
            <w:tcW w:w="1924" w:type="pct"/>
            <w:tcBorders>
              <w:top w:val="single" w:sz="12"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5A54B266" w14:textId="6BCCE1A1" w:rsidR="006E3770" w:rsidRDefault="006E3770" w:rsidP="006E3770">
            <w:pPr>
              <w:ind w:right="-211"/>
            </w:pPr>
            <w:r>
              <w:rPr>
                <w:b/>
                <w:bCs/>
              </w:rPr>
              <w:t>Ranking/donor</w:t>
            </w:r>
          </w:p>
        </w:tc>
        <w:tc>
          <w:tcPr>
            <w:tcW w:w="1097" w:type="pct"/>
            <w:tcBorders>
              <w:top w:val="single" w:sz="12" w:space="0" w:color="auto"/>
              <w:left w:val="nil"/>
              <w:bottom w:val="single" w:sz="8" w:space="0" w:color="auto"/>
              <w:right w:val="single" w:sz="12" w:space="0" w:color="auto"/>
            </w:tcBorders>
            <w:shd w:val="clear" w:color="auto" w:fill="FFFFFF" w:themeFill="background1"/>
            <w:tcMar>
              <w:top w:w="0" w:type="dxa"/>
              <w:left w:w="108" w:type="dxa"/>
              <w:bottom w:w="0" w:type="dxa"/>
              <w:right w:w="108" w:type="dxa"/>
            </w:tcMar>
          </w:tcPr>
          <w:p w14:paraId="7E4CCD0A" w14:textId="2C617C6D" w:rsidR="006E3770" w:rsidRDefault="006E3770" w:rsidP="006E3770">
            <w:pPr>
              <w:ind w:right="-550"/>
              <w:jc w:val="center"/>
            </w:pPr>
            <w:r>
              <w:rPr>
                <w:b/>
                <w:bCs/>
              </w:rPr>
              <w:t>Bedrag</w:t>
            </w:r>
          </w:p>
        </w:tc>
      </w:tr>
      <w:tr w:rsidR="006E3770" w14:paraId="3E8938DC" w14:textId="77777777" w:rsidTr="00F84B31">
        <w:tc>
          <w:tcPr>
            <w:tcW w:w="439" w:type="pct"/>
            <w:tcBorders>
              <w:top w:val="single" w:sz="4" w:space="0" w:color="auto"/>
              <w:left w:val="single" w:sz="12"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tcPr>
          <w:p w14:paraId="5E243E5E" w14:textId="77777777" w:rsidR="006E3770" w:rsidRDefault="006E3770" w:rsidP="006E3770">
            <w:pPr>
              <w:ind w:right="-211"/>
            </w:pPr>
          </w:p>
        </w:tc>
        <w:tc>
          <w:tcPr>
            <w:tcW w:w="1539" w:type="pct"/>
            <w:tcBorders>
              <w:top w:val="single" w:sz="4"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tcPr>
          <w:p w14:paraId="2F797E9B" w14:textId="77777777" w:rsidR="006E3770" w:rsidRDefault="006E3770" w:rsidP="006E3770">
            <w:pPr>
              <w:ind w:right="-211"/>
              <w:rPr>
                <w:i/>
                <w:iCs/>
              </w:rPr>
            </w:pPr>
          </w:p>
        </w:tc>
        <w:tc>
          <w:tcPr>
            <w:tcW w:w="1924" w:type="pct"/>
            <w:tcBorders>
              <w:top w:val="single" w:sz="4"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tcPr>
          <w:p w14:paraId="62FACDB5" w14:textId="77777777" w:rsidR="006E3770" w:rsidRDefault="006E3770" w:rsidP="006E3770">
            <w:pPr>
              <w:ind w:right="-211"/>
            </w:pPr>
          </w:p>
        </w:tc>
        <w:tc>
          <w:tcPr>
            <w:tcW w:w="1097" w:type="pct"/>
            <w:tcBorders>
              <w:top w:val="single" w:sz="4" w:space="0" w:color="auto"/>
              <w:left w:val="nil"/>
              <w:bottom w:val="single" w:sz="8" w:space="0" w:color="auto"/>
              <w:right w:val="single" w:sz="12" w:space="0" w:color="auto"/>
            </w:tcBorders>
            <w:shd w:val="clear" w:color="auto" w:fill="D9D9D9" w:themeFill="background1" w:themeFillShade="D9"/>
            <w:tcMar>
              <w:top w:w="0" w:type="dxa"/>
              <w:left w:w="108" w:type="dxa"/>
              <w:bottom w:w="0" w:type="dxa"/>
              <w:right w:w="108" w:type="dxa"/>
            </w:tcMar>
          </w:tcPr>
          <w:p w14:paraId="4AB28AF2" w14:textId="77777777" w:rsidR="006E3770" w:rsidRDefault="006E3770" w:rsidP="006E3770">
            <w:pPr>
              <w:ind w:right="-550"/>
              <w:jc w:val="center"/>
            </w:pPr>
          </w:p>
        </w:tc>
      </w:tr>
      <w:tr w:rsidR="006E3770" w14:paraId="0A272F99" w14:textId="77777777" w:rsidTr="00F84B31">
        <w:tc>
          <w:tcPr>
            <w:tcW w:w="439" w:type="pct"/>
            <w:vMerge w:val="restart"/>
            <w:tcBorders>
              <w:top w:val="single" w:sz="4" w:space="0" w:color="auto"/>
              <w:left w:val="single" w:sz="12" w:space="0" w:color="auto"/>
              <w:bottom w:val="single" w:sz="8" w:space="0" w:color="auto"/>
              <w:right w:val="single" w:sz="8" w:space="0" w:color="auto"/>
            </w:tcBorders>
            <w:tcMar>
              <w:top w:w="0" w:type="dxa"/>
              <w:left w:w="108" w:type="dxa"/>
              <w:bottom w:w="0" w:type="dxa"/>
              <w:right w:w="108" w:type="dxa"/>
            </w:tcMar>
            <w:hideMark/>
          </w:tcPr>
          <w:p w14:paraId="7764F577" w14:textId="77777777" w:rsidR="006E3770" w:rsidRDefault="006E3770" w:rsidP="006E3770">
            <w:pPr>
              <w:ind w:right="-211"/>
            </w:pPr>
            <w:r>
              <w:t>2016</w:t>
            </w:r>
          </w:p>
          <w:p w14:paraId="7729D9A7" w14:textId="77777777" w:rsidR="006E3770" w:rsidRDefault="006E3770" w:rsidP="006E3770">
            <w:pPr>
              <w:ind w:right="-211"/>
            </w:pPr>
            <w:r>
              <w:t> </w:t>
            </w:r>
          </w:p>
          <w:p w14:paraId="1B8FCC96" w14:textId="77777777" w:rsidR="006E3770" w:rsidRDefault="006E3770" w:rsidP="006E3770">
            <w:pPr>
              <w:ind w:right="-211"/>
            </w:pPr>
            <w:r>
              <w:t> </w:t>
            </w:r>
          </w:p>
          <w:p w14:paraId="76A86623" w14:textId="77777777" w:rsidR="006E3770" w:rsidRDefault="006E3770" w:rsidP="006E3770">
            <w:pPr>
              <w:ind w:right="-211"/>
            </w:pPr>
            <w:r>
              <w:t> </w:t>
            </w:r>
          </w:p>
          <w:p w14:paraId="35635024" w14:textId="77777777" w:rsidR="006E3770" w:rsidRDefault="006E3770" w:rsidP="006E3770">
            <w:pPr>
              <w:ind w:right="-211"/>
            </w:pPr>
            <w:r>
              <w:t> </w:t>
            </w:r>
          </w:p>
          <w:p w14:paraId="3E063FA2" w14:textId="77777777" w:rsidR="006E3770" w:rsidRDefault="006E3770" w:rsidP="006E3770">
            <w:pPr>
              <w:ind w:right="-211"/>
            </w:pPr>
            <w:r>
              <w:t> </w:t>
            </w:r>
          </w:p>
          <w:p w14:paraId="10C3F96E" w14:textId="77777777" w:rsidR="006E3770" w:rsidRDefault="006E3770" w:rsidP="006E3770">
            <w:pPr>
              <w:ind w:right="-211"/>
            </w:pPr>
            <w:r>
              <w:t> </w:t>
            </w:r>
          </w:p>
          <w:p w14:paraId="4944A0B1" w14:textId="77777777" w:rsidR="006E3770" w:rsidRDefault="006E3770" w:rsidP="006E3770">
            <w:pPr>
              <w:ind w:right="-211"/>
            </w:pPr>
            <w:r>
              <w:t> </w:t>
            </w:r>
          </w:p>
          <w:p w14:paraId="68D574D3" w14:textId="77777777" w:rsidR="006E3770" w:rsidRDefault="006E3770" w:rsidP="006E3770">
            <w:pPr>
              <w:ind w:right="-211"/>
            </w:pPr>
            <w:r>
              <w:t> </w:t>
            </w:r>
          </w:p>
          <w:p w14:paraId="5FEFAA47" w14:textId="1559DA34" w:rsidR="006E3770" w:rsidRDefault="006E3770" w:rsidP="006E3770">
            <w:pPr>
              <w:ind w:right="-211"/>
            </w:pPr>
            <w:r>
              <w:t> </w:t>
            </w:r>
          </w:p>
        </w:tc>
        <w:tc>
          <w:tcPr>
            <w:tcW w:w="1539" w:type="pct"/>
            <w:vMerge w:val="restart"/>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86447A7" w14:textId="77777777" w:rsidR="006E3770" w:rsidRDefault="006E3770" w:rsidP="006E3770">
            <w:pPr>
              <w:ind w:right="-211"/>
            </w:pPr>
            <w:r>
              <w:rPr>
                <w:i/>
                <w:iCs/>
              </w:rPr>
              <w:t>Core</w:t>
            </w:r>
            <w:r>
              <w:t>-bijdrage</w:t>
            </w:r>
          </w:p>
          <w:p w14:paraId="0A1D8DB0" w14:textId="77777777" w:rsidR="006E3770" w:rsidRDefault="006E3770" w:rsidP="006E3770">
            <w:pPr>
              <w:ind w:right="-211"/>
            </w:pPr>
            <w:r>
              <w:t> </w:t>
            </w:r>
          </w:p>
          <w:p w14:paraId="2AD15F5F" w14:textId="77777777" w:rsidR="006E3770" w:rsidRDefault="006E3770" w:rsidP="006E3770">
            <w:pPr>
              <w:ind w:right="-211"/>
            </w:pPr>
            <w:r>
              <w:t> </w:t>
            </w:r>
          </w:p>
          <w:p w14:paraId="3D448F76" w14:textId="77777777" w:rsidR="006E3770" w:rsidRDefault="006E3770" w:rsidP="006E3770">
            <w:pPr>
              <w:ind w:right="-211"/>
            </w:pPr>
            <w:r>
              <w:t> </w:t>
            </w:r>
          </w:p>
        </w:tc>
        <w:tc>
          <w:tcPr>
            <w:tcW w:w="1924"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A407471" w14:textId="77777777" w:rsidR="006E3770" w:rsidRDefault="006E3770" w:rsidP="006E3770">
            <w:pPr>
              <w:ind w:right="-211"/>
            </w:pPr>
            <w:r>
              <w:t>1. Verenigde Staten</w:t>
            </w:r>
          </w:p>
        </w:tc>
        <w:tc>
          <w:tcPr>
            <w:tcW w:w="1097" w:type="pct"/>
            <w:tcBorders>
              <w:top w:val="single" w:sz="4" w:space="0" w:color="auto"/>
              <w:left w:val="nil"/>
              <w:bottom w:val="single" w:sz="8" w:space="0" w:color="auto"/>
              <w:right w:val="single" w:sz="12" w:space="0" w:color="auto"/>
            </w:tcBorders>
            <w:tcMar>
              <w:top w:w="0" w:type="dxa"/>
              <w:left w:w="108" w:type="dxa"/>
              <w:bottom w:w="0" w:type="dxa"/>
              <w:right w:w="108" w:type="dxa"/>
            </w:tcMar>
            <w:hideMark/>
          </w:tcPr>
          <w:p w14:paraId="65BFCCF8" w14:textId="529367E9" w:rsidR="006E3770" w:rsidRDefault="006E3770" w:rsidP="006E3770">
            <w:pPr>
              <w:ind w:right="-550"/>
              <w:jc w:val="center"/>
            </w:pPr>
            <w:r>
              <w:t xml:space="preserve">  </w:t>
            </w:r>
            <w:r w:rsidR="00D070F2">
              <w:t xml:space="preserve">        87,7</w:t>
            </w:r>
          </w:p>
        </w:tc>
      </w:tr>
      <w:tr w:rsidR="006E3770" w14:paraId="7DF6A8B6" w14:textId="77777777" w:rsidTr="00F84B31">
        <w:tc>
          <w:tcPr>
            <w:tcW w:w="439" w:type="pct"/>
            <w:vMerge/>
            <w:tcBorders>
              <w:left w:val="single" w:sz="12" w:space="0" w:color="auto"/>
              <w:bottom w:val="single" w:sz="8" w:space="0" w:color="auto"/>
              <w:right w:val="single" w:sz="8" w:space="0" w:color="auto"/>
            </w:tcBorders>
            <w:tcMar>
              <w:top w:w="0" w:type="dxa"/>
              <w:left w:w="108" w:type="dxa"/>
              <w:bottom w:w="0" w:type="dxa"/>
              <w:right w:w="108" w:type="dxa"/>
            </w:tcMar>
            <w:hideMark/>
          </w:tcPr>
          <w:p w14:paraId="1C59AA78" w14:textId="77777777" w:rsidR="006E3770" w:rsidRDefault="006E3770" w:rsidP="006E3770">
            <w:pPr>
              <w:ind w:right="-211"/>
            </w:pPr>
          </w:p>
        </w:tc>
        <w:tc>
          <w:tcPr>
            <w:tcW w:w="1539" w:type="pct"/>
            <w:vMerge/>
            <w:tcBorders>
              <w:left w:val="nil"/>
              <w:bottom w:val="single" w:sz="8" w:space="0" w:color="auto"/>
              <w:right w:val="single" w:sz="8" w:space="0" w:color="auto"/>
            </w:tcBorders>
            <w:tcMar>
              <w:top w:w="0" w:type="dxa"/>
              <w:left w:w="108" w:type="dxa"/>
              <w:bottom w:w="0" w:type="dxa"/>
              <w:right w:w="108" w:type="dxa"/>
            </w:tcMar>
            <w:hideMark/>
          </w:tcPr>
          <w:p w14:paraId="36ED85AD" w14:textId="77777777" w:rsidR="006E3770" w:rsidRDefault="006E3770" w:rsidP="006E3770">
            <w:pPr>
              <w:ind w:right="-211"/>
            </w:pPr>
          </w:p>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512E0DA5" w14:textId="77777777" w:rsidR="006E3770" w:rsidRDefault="006E3770" w:rsidP="006E3770">
            <w:pPr>
              <w:ind w:right="-211"/>
            </w:pPr>
            <w:r>
              <w:t>2. Japan</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6ECE5DF0" w14:textId="77C1C4E5" w:rsidR="006E3770" w:rsidRDefault="00D070F2" w:rsidP="006E3770">
            <w:pPr>
              <w:ind w:right="-211"/>
              <w:jc w:val="right"/>
            </w:pPr>
            <w:r>
              <w:t> 43,2</w:t>
            </w:r>
            <w:r w:rsidR="006E3770">
              <w:t>4</w:t>
            </w:r>
          </w:p>
        </w:tc>
      </w:tr>
      <w:tr w:rsidR="006E3770" w14:paraId="72067C9B" w14:textId="77777777" w:rsidTr="00F84B31">
        <w:tc>
          <w:tcPr>
            <w:tcW w:w="439" w:type="pct"/>
            <w:vMerge/>
            <w:tcBorders>
              <w:left w:val="single" w:sz="12" w:space="0" w:color="auto"/>
              <w:bottom w:val="single" w:sz="8" w:space="0" w:color="auto"/>
              <w:right w:val="single" w:sz="8" w:space="0" w:color="auto"/>
            </w:tcBorders>
            <w:tcMar>
              <w:top w:w="0" w:type="dxa"/>
              <w:left w:w="108" w:type="dxa"/>
              <w:bottom w:w="0" w:type="dxa"/>
              <w:right w:w="108" w:type="dxa"/>
            </w:tcMar>
            <w:hideMark/>
          </w:tcPr>
          <w:p w14:paraId="7AB336F0" w14:textId="77777777" w:rsidR="006E3770" w:rsidRDefault="006E3770" w:rsidP="006E3770">
            <w:pPr>
              <w:ind w:right="-211"/>
            </w:pPr>
          </w:p>
        </w:tc>
        <w:tc>
          <w:tcPr>
            <w:tcW w:w="1539" w:type="pct"/>
            <w:vMerge/>
            <w:tcBorders>
              <w:left w:val="nil"/>
              <w:bottom w:val="single" w:sz="8" w:space="0" w:color="auto"/>
              <w:right w:val="single" w:sz="8" w:space="0" w:color="auto"/>
            </w:tcBorders>
            <w:tcMar>
              <w:top w:w="0" w:type="dxa"/>
              <w:left w:w="108" w:type="dxa"/>
              <w:bottom w:w="0" w:type="dxa"/>
              <w:right w:w="108" w:type="dxa"/>
            </w:tcMar>
            <w:hideMark/>
          </w:tcPr>
          <w:p w14:paraId="484F99E3" w14:textId="77777777" w:rsidR="006E3770" w:rsidRDefault="006E3770" w:rsidP="006E3770">
            <w:pPr>
              <w:ind w:right="-211"/>
            </w:pPr>
          </w:p>
        </w:tc>
        <w:tc>
          <w:tcPr>
            <w:tcW w:w="1924" w:type="pct"/>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0CF6751" w14:textId="77777777" w:rsidR="006E3770" w:rsidRPr="00082D88" w:rsidRDefault="006E3770" w:rsidP="006E3770">
            <w:pPr>
              <w:ind w:right="-211"/>
            </w:pPr>
            <w:r w:rsidRPr="00082D88">
              <w:t>3. Duitsland</w:t>
            </w:r>
          </w:p>
        </w:tc>
        <w:tc>
          <w:tcPr>
            <w:tcW w:w="1097" w:type="pct"/>
            <w:tcBorders>
              <w:top w:val="nil"/>
              <w:left w:val="nil"/>
              <w:bottom w:val="single" w:sz="8" w:space="0" w:color="auto"/>
              <w:right w:val="single" w:sz="12" w:space="0" w:color="auto"/>
            </w:tcBorders>
            <w:shd w:val="clear" w:color="auto" w:fill="FFFFFF" w:themeFill="background1"/>
            <w:tcMar>
              <w:top w:w="0" w:type="dxa"/>
              <w:left w:w="108" w:type="dxa"/>
              <w:bottom w:w="0" w:type="dxa"/>
              <w:right w:w="108" w:type="dxa"/>
            </w:tcMar>
            <w:hideMark/>
          </w:tcPr>
          <w:p w14:paraId="1FBB5DB4" w14:textId="0C909A7D" w:rsidR="006E3770" w:rsidRPr="00082D88" w:rsidRDefault="00D070F2" w:rsidP="006E3770">
            <w:pPr>
              <w:ind w:right="-211"/>
              <w:jc w:val="right"/>
            </w:pPr>
            <w:r>
              <w:t> 29,2</w:t>
            </w:r>
            <w:r w:rsidR="006E3770" w:rsidRPr="00082D88">
              <w:t>9</w:t>
            </w:r>
          </w:p>
        </w:tc>
      </w:tr>
      <w:tr w:rsidR="006E3770" w14:paraId="09040B01" w14:textId="77777777" w:rsidTr="00F84B31">
        <w:tc>
          <w:tcPr>
            <w:tcW w:w="439" w:type="pct"/>
            <w:vMerge/>
            <w:tcBorders>
              <w:left w:val="single" w:sz="12" w:space="0" w:color="auto"/>
              <w:bottom w:val="single" w:sz="8" w:space="0" w:color="auto"/>
              <w:right w:val="single" w:sz="8" w:space="0" w:color="auto"/>
            </w:tcBorders>
            <w:tcMar>
              <w:top w:w="0" w:type="dxa"/>
              <w:left w:w="108" w:type="dxa"/>
              <w:bottom w:w="0" w:type="dxa"/>
              <w:right w:w="108" w:type="dxa"/>
            </w:tcMar>
            <w:hideMark/>
          </w:tcPr>
          <w:p w14:paraId="7DE74BAD" w14:textId="77777777" w:rsidR="006E3770" w:rsidRDefault="006E3770" w:rsidP="006E3770">
            <w:pPr>
              <w:ind w:right="-211"/>
            </w:pPr>
          </w:p>
        </w:tc>
        <w:tc>
          <w:tcPr>
            <w:tcW w:w="1539" w:type="pct"/>
            <w:vMerge/>
            <w:tcBorders>
              <w:left w:val="nil"/>
              <w:bottom w:val="single" w:sz="8" w:space="0" w:color="auto"/>
              <w:right w:val="single" w:sz="8" w:space="0" w:color="auto"/>
            </w:tcBorders>
            <w:tcMar>
              <w:top w:w="0" w:type="dxa"/>
              <w:left w:w="108" w:type="dxa"/>
              <w:bottom w:w="0" w:type="dxa"/>
              <w:right w:w="108" w:type="dxa"/>
            </w:tcMar>
            <w:hideMark/>
          </w:tcPr>
          <w:p w14:paraId="2D4F3857" w14:textId="77777777" w:rsidR="006E3770" w:rsidRDefault="006E3770" w:rsidP="006E3770">
            <w:pPr>
              <w:ind w:right="-211"/>
            </w:pPr>
          </w:p>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53312B42" w14:textId="77777777" w:rsidR="006E3770" w:rsidRPr="00724360" w:rsidRDefault="006E3770" w:rsidP="006E3770">
            <w:pPr>
              <w:ind w:right="-211"/>
              <w:rPr>
                <w:b/>
              </w:rPr>
            </w:pPr>
            <w:r w:rsidRPr="00724360">
              <w:rPr>
                <w:b/>
              </w:rPr>
              <w:t>12. Nederland</w:t>
            </w:r>
            <w:bookmarkStart w:id="29" w:name="_ftnref1"/>
            <w:bookmarkEnd w:id="29"/>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20557206" w14:textId="3D5D11C5" w:rsidR="006E3770" w:rsidRDefault="00D070F2" w:rsidP="006E3770">
            <w:pPr>
              <w:ind w:right="-211"/>
              <w:jc w:val="right"/>
            </w:pPr>
            <w:r>
              <w:t>9,3</w:t>
            </w:r>
            <w:r w:rsidR="006E3770">
              <w:t>0</w:t>
            </w:r>
          </w:p>
        </w:tc>
      </w:tr>
      <w:tr w:rsidR="006E3770" w14:paraId="53065C05" w14:textId="77777777" w:rsidTr="00F84B31">
        <w:tc>
          <w:tcPr>
            <w:tcW w:w="439" w:type="pct"/>
            <w:vMerge/>
            <w:tcBorders>
              <w:left w:val="single" w:sz="12" w:space="0" w:color="auto"/>
              <w:bottom w:val="single" w:sz="8" w:space="0" w:color="auto"/>
              <w:right w:val="single" w:sz="8" w:space="0" w:color="auto"/>
            </w:tcBorders>
            <w:tcMar>
              <w:top w:w="0" w:type="dxa"/>
              <w:left w:w="108" w:type="dxa"/>
              <w:bottom w:w="0" w:type="dxa"/>
              <w:right w:w="108" w:type="dxa"/>
            </w:tcMar>
            <w:hideMark/>
          </w:tcPr>
          <w:p w14:paraId="7B26C907" w14:textId="77777777" w:rsidR="006E3770" w:rsidRDefault="006E3770" w:rsidP="006E3770">
            <w:pPr>
              <w:ind w:right="-211"/>
            </w:pPr>
          </w:p>
        </w:tc>
        <w:tc>
          <w:tcPr>
            <w:tcW w:w="1539" w:type="pct"/>
            <w:vMerge w:val="restart"/>
            <w:tcBorders>
              <w:top w:val="nil"/>
              <w:left w:val="nil"/>
              <w:right w:val="single" w:sz="8" w:space="0" w:color="auto"/>
            </w:tcBorders>
            <w:tcMar>
              <w:top w:w="0" w:type="dxa"/>
              <w:left w:w="108" w:type="dxa"/>
              <w:bottom w:w="0" w:type="dxa"/>
              <w:right w:w="108" w:type="dxa"/>
            </w:tcMar>
            <w:hideMark/>
          </w:tcPr>
          <w:p w14:paraId="19FAFD11" w14:textId="77777777" w:rsidR="006E3770" w:rsidRDefault="006E3770" w:rsidP="006E3770">
            <w:pPr>
              <w:ind w:right="-211"/>
            </w:pPr>
            <w:r>
              <w:rPr>
                <w:i/>
                <w:iCs/>
              </w:rPr>
              <w:t>Non-core</w:t>
            </w:r>
            <w:r>
              <w:t>-bijdragen</w:t>
            </w:r>
          </w:p>
          <w:p w14:paraId="4CCB41D4" w14:textId="77777777" w:rsidR="006E3770" w:rsidRDefault="006E3770" w:rsidP="006E3770">
            <w:pPr>
              <w:ind w:right="-211"/>
            </w:pPr>
            <w:r>
              <w:t> </w:t>
            </w:r>
          </w:p>
          <w:p w14:paraId="2CA934E3" w14:textId="77777777" w:rsidR="006E3770" w:rsidRDefault="006E3770" w:rsidP="006E3770">
            <w:pPr>
              <w:ind w:right="-211"/>
            </w:pPr>
            <w:r>
              <w:t> </w:t>
            </w:r>
          </w:p>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725EBE41" w14:textId="77777777" w:rsidR="006E3770" w:rsidRDefault="006E3770" w:rsidP="006E3770">
            <w:pPr>
              <w:ind w:right="-211"/>
            </w:pPr>
            <w:r>
              <w:t>1. Europese Commissie</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37B5C2FE" w14:textId="708D826C" w:rsidR="006E3770" w:rsidRDefault="00D070F2" w:rsidP="006E3770">
            <w:pPr>
              <w:ind w:right="-211"/>
              <w:jc w:val="right"/>
            </w:pPr>
            <w:r>
              <w:t>57,8</w:t>
            </w:r>
            <w:r w:rsidR="006E3770">
              <w:t>0</w:t>
            </w:r>
          </w:p>
        </w:tc>
      </w:tr>
      <w:tr w:rsidR="006E3770" w14:paraId="495DB608" w14:textId="77777777" w:rsidTr="00F84B31">
        <w:tc>
          <w:tcPr>
            <w:tcW w:w="439" w:type="pct"/>
            <w:vMerge/>
            <w:tcBorders>
              <w:left w:val="single" w:sz="12" w:space="0" w:color="auto"/>
              <w:bottom w:val="single" w:sz="8" w:space="0" w:color="auto"/>
              <w:right w:val="single" w:sz="8" w:space="0" w:color="auto"/>
            </w:tcBorders>
            <w:tcMar>
              <w:top w:w="0" w:type="dxa"/>
              <w:left w:w="108" w:type="dxa"/>
              <w:bottom w:w="0" w:type="dxa"/>
              <w:right w:w="108" w:type="dxa"/>
            </w:tcMar>
            <w:hideMark/>
          </w:tcPr>
          <w:p w14:paraId="36050C2D" w14:textId="77777777" w:rsidR="006E3770" w:rsidRDefault="006E3770" w:rsidP="006E3770">
            <w:pPr>
              <w:ind w:right="-211"/>
            </w:pPr>
          </w:p>
        </w:tc>
        <w:tc>
          <w:tcPr>
            <w:tcW w:w="1539" w:type="pct"/>
            <w:vMerge/>
            <w:tcBorders>
              <w:left w:val="nil"/>
              <w:right w:val="single" w:sz="8" w:space="0" w:color="auto"/>
            </w:tcBorders>
            <w:tcMar>
              <w:top w:w="0" w:type="dxa"/>
              <w:left w:w="108" w:type="dxa"/>
              <w:bottom w:w="0" w:type="dxa"/>
              <w:right w:w="108" w:type="dxa"/>
            </w:tcMar>
            <w:hideMark/>
          </w:tcPr>
          <w:p w14:paraId="7AB0E473" w14:textId="77777777" w:rsidR="006E3770" w:rsidRDefault="006E3770" w:rsidP="006E3770">
            <w:pPr>
              <w:ind w:right="-211"/>
            </w:pPr>
          </w:p>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6F390244" w14:textId="77777777" w:rsidR="006E3770" w:rsidRDefault="006E3770" w:rsidP="006E3770">
            <w:pPr>
              <w:ind w:right="-211"/>
            </w:pPr>
            <w:r>
              <w:t xml:space="preserve">2. Verenigde Staten </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7918D985" w14:textId="20DA4E71" w:rsidR="006E3770" w:rsidRDefault="00D070F2" w:rsidP="006E3770">
            <w:pPr>
              <w:ind w:right="-211"/>
              <w:jc w:val="right"/>
            </w:pPr>
            <w:r>
              <w:t>42,2</w:t>
            </w:r>
            <w:r w:rsidR="006E3770">
              <w:t>6</w:t>
            </w:r>
          </w:p>
        </w:tc>
      </w:tr>
      <w:tr w:rsidR="006E3770" w14:paraId="6CDF6F57" w14:textId="77777777" w:rsidTr="00F84B31">
        <w:tc>
          <w:tcPr>
            <w:tcW w:w="439" w:type="pct"/>
            <w:vMerge/>
            <w:tcBorders>
              <w:left w:val="single" w:sz="12" w:space="0" w:color="auto"/>
              <w:bottom w:val="single" w:sz="8" w:space="0" w:color="auto"/>
              <w:right w:val="single" w:sz="8" w:space="0" w:color="auto"/>
            </w:tcBorders>
            <w:tcMar>
              <w:top w:w="0" w:type="dxa"/>
              <w:left w:w="108" w:type="dxa"/>
              <w:bottom w:w="0" w:type="dxa"/>
              <w:right w:w="108" w:type="dxa"/>
            </w:tcMar>
            <w:hideMark/>
          </w:tcPr>
          <w:p w14:paraId="2B1D2E58" w14:textId="77777777" w:rsidR="006E3770" w:rsidRDefault="006E3770" w:rsidP="006E3770">
            <w:pPr>
              <w:ind w:right="-211"/>
            </w:pPr>
          </w:p>
        </w:tc>
        <w:tc>
          <w:tcPr>
            <w:tcW w:w="1539" w:type="pct"/>
            <w:vMerge/>
            <w:tcBorders>
              <w:left w:val="nil"/>
              <w:right w:val="single" w:sz="8" w:space="0" w:color="auto"/>
            </w:tcBorders>
            <w:tcMar>
              <w:top w:w="0" w:type="dxa"/>
              <w:left w:w="108" w:type="dxa"/>
              <w:bottom w:w="0" w:type="dxa"/>
              <w:right w:w="108" w:type="dxa"/>
            </w:tcMar>
            <w:hideMark/>
          </w:tcPr>
          <w:p w14:paraId="1987ACDB" w14:textId="77777777" w:rsidR="006E3770" w:rsidRDefault="006E3770" w:rsidP="006E3770">
            <w:pPr>
              <w:ind w:right="-211"/>
            </w:pPr>
          </w:p>
        </w:tc>
        <w:tc>
          <w:tcPr>
            <w:tcW w:w="1924" w:type="pct"/>
            <w:tcBorders>
              <w:top w:val="nil"/>
              <w:left w:val="nil"/>
              <w:bottom w:val="single" w:sz="8" w:space="0" w:color="auto"/>
              <w:right w:val="single" w:sz="8" w:space="0" w:color="auto"/>
            </w:tcBorders>
            <w:tcMar>
              <w:top w:w="0" w:type="dxa"/>
              <w:left w:w="108" w:type="dxa"/>
              <w:bottom w:w="0" w:type="dxa"/>
              <w:right w:w="108" w:type="dxa"/>
            </w:tcMar>
            <w:hideMark/>
          </w:tcPr>
          <w:p w14:paraId="04FEFA98" w14:textId="77777777" w:rsidR="006E3770" w:rsidRDefault="006E3770" w:rsidP="006E3770">
            <w:pPr>
              <w:ind w:right="-211"/>
            </w:pPr>
            <w:r>
              <w:t xml:space="preserve">3. Duitsland </w:t>
            </w:r>
          </w:p>
        </w:tc>
        <w:tc>
          <w:tcPr>
            <w:tcW w:w="1097" w:type="pct"/>
            <w:tcBorders>
              <w:top w:val="nil"/>
              <w:left w:val="nil"/>
              <w:bottom w:val="single" w:sz="8" w:space="0" w:color="auto"/>
              <w:right w:val="single" w:sz="12" w:space="0" w:color="auto"/>
            </w:tcBorders>
            <w:tcMar>
              <w:top w:w="0" w:type="dxa"/>
              <w:left w:w="108" w:type="dxa"/>
              <w:bottom w:w="0" w:type="dxa"/>
              <w:right w:w="108" w:type="dxa"/>
            </w:tcMar>
            <w:hideMark/>
          </w:tcPr>
          <w:p w14:paraId="44E05310" w14:textId="276C7507" w:rsidR="006E3770" w:rsidRDefault="00D070F2" w:rsidP="006E3770">
            <w:pPr>
              <w:ind w:right="-211"/>
              <w:jc w:val="right"/>
            </w:pPr>
            <w:r>
              <w:t>31,5</w:t>
            </w:r>
            <w:r w:rsidR="006E3770">
              <w:t>2</w:t>
            </w:r>
          </w:p>
        </w:tc>
      </w:tr>
      <w:tr w:rsidR="006E3770" w14:paraId="3901933D" w14:textId="77777777" w:rsidTr="00F84B31">
        <w:tc>
          <w:tcPr>
            <w:tcW w:w="439" w:type="pct"/>
            <w:vMerge/>
            <w:tcBorders>
              <w:left w:val="single" w:sz="12" w:space="0" w:color="auto"/>
              <w:bottom w:val="single" w:sz="8" w:space="0" w:color="auto"/>
              <w:right w:val="single" w:sz="8" w:space="0" w:color="auto"/>
            </w:tcBorders>
            <w:tcMar>
              <w:top w:w="0" w:type="dxa"/>
              <w:left w:w="108" w:type="dxa"/>
              <w:bottom w:w="0" w:type="dxa"/>
              <w:right w:w="108" w:type="dxa"/>
            </w:tcMar>
          </w:tcPr>
          <w:p w14:paraId="52BF5756" w14:textId="77777777" w:rsidR="006E3770" w:rsidRDefault="006E3770" w:rsidP="006E3770">
            <w:pPr>
              <w:ind w:right="-211"/>
            </w:pPr>
          </w:p>
        </w:tc>
        <w:tc>
          <w:tcPr>
            <w:tcW w:w="1539" w:type="pct"/>
            <w:vMerge/>
            <w:tcBorders>
              <w:left w:val="nil"/>
              <w:bottom w:val="single" w:sz="8" w:space="0" w:color="auto"/>
              <w:right w:val="single" w:sz="8" w:space="0" w:color="auto"/>
            </w:tcBorders>
            <w:tcMar>
              <w:top w:w="0" w:type="dxa"/>
              <w:left w:w="108" w:type="dxa"/>
              <w:bottom w:w="0" w:type="dxa"/>
              <w:right w:w="108" w:type="dxa"/>
            </w:tcMar>
          </w:tcPr>
          <w:p w14:paraId="11866C77" w14:textId="77777777" w:rsidR="006E3770" w:rsidRDefault="006E3770" w:rsidP="006E3770">
            <w:pPr>
              <w:ind w:right="-211"/>
            </w:pPr>
          </w:p>
        </w:tc>
        <w:tc>
          <w:tcPr>
            <w:tcW w:w="1924" w:type="pct"/>
            <w:tcBorders>
              <w:top w:val="nil"/>
              <w:left w:val="nil"/>
              <w:bottom w:val="single" w:sz="8" w:space="0" w:color="auto"/>
              <w:right w:val="single" w:sz="8" w:space="0" w:color="auto"/>
            </w:tcBorders>
            <w:tcMar>
              <w:top w:w="0" w:type="dxa"/>
              <w:left w:w="108" w:type="dxa"/>
              <w:bottom w:w="0" w:type="dxa"/>
              <w:right w:w="108" w:type="dxa"/>
            </w:tcMar>
          </w:tcPr>
          <w:p w14:paraId="6CFBCC1F" w14:textId="77777777" w:rsidR="006E3770" w:rsidRPr="00724360" w:rsidRDefault="006E3770" w:rsidP="006E3770">
            <w:pPr>
              <w:ind w:right="-211"/>
              <w:rPr>
                <w:b/>
              </w:rPr>
            </w:pPr>
            <w:r w:rsidRPr="00724360">
              <w:rPr>
                <w:b/>
              </w:rPr>
              <w:t>13. Nederland</w:t>
            </w:r>
          </w:p>
        </w:tc>
        <w:tc>
          <w:tcPr>
            <w:tcW w:w="1097" w:type="pct"/>
            <w:tcBorders>
              <w:top w:val="nil"/>
              <w:left w:val="nil"/>
              <w:bottom w:val="single" w:sz="8" w:space="0" w:color="auto"/>
              <w:right w:val="single" w:sz="12" w:space="0" w:color="auto"/>
            </w:tcBorders>
            <w:tcMar>
              <w:top w:w="0" w:type="dxa"/>
              <w:left w:w="108" w:type="dxa"/>
              <w:bottom w:w="0" w:type="dxa"/>
              <w:right w:w="108" w:type="dxa"/>
            </w:tcMar>
          </w:tcPr>
          <w:p w14:paraId="12D2B8A0" w14:textId="07598286" w:rsidR="006E3770" w:rsidRDefault="00D070F2" w:rsidP="006E3770">
            <w:pPr>
              <w:ind w:right="-211"/>
              <w:jc w:val="right"/>
            </w:pPr>
            <w:r>
              <w:t>5,6</w:t>
            </w:r>
            <w:r w:rsidR="006E3770">
              <w:t>3</w:t>
            </w:r>
          </w:p>
        </w:tc>
      </w:tr>
      <w:tr w:rsidR="006E3770" w14:paraId="536F990B" w14:textId="77777777" w:rsidTr="00F84B31">
        <w:tc>
          <w:tcPr>
            <w:tcW w:w="439" w:type="pct"/>
            <w:vMerge/>
            <w:tcBorders>
              <w:left w:val="single" w:sz="12" w:space="0" w:color="auto"/>
              <w:bottom w:val="single" w:sz="8" w:space="0" w:color="auto"/>
              <w:right w:val="single" w:sz="8" w:space="0" w:color="auto"/>
            </w:tcBorders>
            <w:tcMar>
              <w:top w:w="0" w:type="dxa"/>
              <w:left w:w="108" w:type="dxa"/>
              <w:bottom w:w="0" w:type="dxa"/>
              <w:right w:w="108" w:type="dxa"/>
            </w:tcMar>
            <w:hideMark/>
          </w:tcPr>
          <w:p w14:paraId="0C7A5F15" w14:textId="77777777" w:rsidR="006E3770" w:rsidRDefault="006E3770" w:rsidP="006E3770">
            <w:pPr>
              <w:ind w:right="-211"/>
            </w:pPr>
          </w:p>
        </w:tc>
        <w:tc>
          <w:tcPr>
            <w:tcW w:w="1539" w:type="pct"/>
            <w:vMerge w:val="restart"/>
            <w:tcBorders>
              <w:top w:val="nil"/>
              <w:left w:val="nil"/>
              <w:right w:val="single" w:sz="8" w:space="0" w:color="auto"/>
            </w:tcBorders>
            <w:shd w:val="clear" w:color="auto" w:fill="FFFFFF" w:themeFill="background1"/>
            <w:tcMar>
              <w:top w:w="0" w:type="dxa"/>
              <w:left w:w="108" w:type="dxa"/>
              <w:bottom w:w="0" w:type="dxa"/>
              <w:right w:w="108" w:type="dxa"/>
            </w:tcMar>
            <w:hideMark/>
          </w:tcPr>
          <w:p w14:paraId="4D9E6CE3" w14:textId="77777777" w:rsidR="006E3770" w:rsidRPr="0063594B" w:rsidRDefault="006E3770" w:rsidP="006E3770">
            <w:pPr>
              <w:ind w:right="-211"/>
              <w:rPr>
                <w:lang w:val="en-US"/>
              </w:rPr>
            </w:pPr>
            <w:r w:rsidRPr="0063594B">
              <w:rPr>
                <w:lang w:val="en-US"/>
              </w:rPr>
              <w:t>Totaal bijdrage</w:t>
            </w:r>
          </w:p>
          <w:p w14:paraId="51C42C83" w14:textId="77777777" w:rsidR="006E3770" w:rsidRPr="0063594B" w:rsidRDefault="006E3770" w:rsidP="006E3770">
            <w:pPr>
              <w:ind w:right="-211"/>
              <w:rPr>
                <w:lang w:val="en-US"/>
              </w:rPr>
            </w:pPr>
            <w:r w:rsidRPr="0063594B">
              <w:rPr>
                <w:lang w:val="en-US"/>
              </w:rPr>
              <w:t> </w:t>
            </w:r>
          </w:p>
          <w:p w14:paraId="6DEC7494" w14:textId="7EBEA907" w:rsidR="006E3770" w:rsidRPr="0063594B" w:rsidRDefault="006E3770" w:rsidP="008F25FA">
            <w:pPr>
              <w:ind w:right="-211"/>
              <w:rPr>
                <w:lang w:val="en-US"/>
              </w:rPr>
            </w:pPr>
          </w:p>
        </w:tc>
        <w:tc>
          <w:tcPr>
            <w:tcW w:w="1924" w:type="pct"/>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3414D8D" w14:textId="3BEBA5EB" w:rsidR="006E3770" w:rsidRPr="00082D88" w:rsidRDefault="006E3770" w:rsidP="006E3770">
            <w:pPr>
              <w:ind w:right="-211"/>
            </w:pPr>
            <w:r w:rsidRPr="00082D88">
              <w:t xml:space="preserve">1. </w:t>
            </w:r>
            <w:r>
              <w:t>Verenigde Staten</w:t>
            </w:r>
          </w:p>
        </w:tc>
        <w:tc>
          <w:tcPr>
            <w:tcW w:w="1097" w:type="pct"/>
            <w:tcBorders>
              <w:top w:val="nil"/>
              <w:left w:val="nil"/>
              <w:bottom w:val="single" w:sz="8" w:space="0" w:color="auto"/>
              <w:right w:val="single" w:sz="12" w:space="0" w:color="auto"/>
            </w:tcBorders>
            <w:shd w:val="clear" w:color="auto" w:fill="FFFFFF" w:themeFill="background1"/>
            <w:tcMar>
              <w:top w:w="0" w:type="dxa"/>
              <w:left w:w="108" w:type="dxa"/>
              <w:bottom w:w="0" w:type="dxa"/>
              <w:right w:w="108" w:type="dxa"/>
            </w:tcMar>
            <w:hideMark/>
          </w:tcPr>
          <w:p w14:paraId="1B48D066" w14:textId="402DC5D1" w:rsidR="006E3770" w:rsidRPr="00082D88" w:rsidRDefault="006E3770" w:rsidP="006E3770">
            <w:pPr>
              <w:ind w:right="-211"/>
              <w:jc w:val="right"/>
            </w:pPr>
            <w:r w:rsidRPr="00082D88">
              <w:t> </w:t>
            </w:r>
            <w:r w:rsidR="00D070F2">
              <w:rPr>
                <w:color w:val="000000"/>
              </w:rPr>
              <w:t>129,9</w:t>
            </w:r>
            <w:r w:rsidRPr="00082D88">
              <w:rPr>
                <w:color w:val="000000"/>
              </w:rPr>
              <w:t>9</w:t>
            </w:r>
          </w:p>
        </w:tc>
      </w:tr>
      <w:tr w:rsidR="006E3770" w14:paraId="4DFA9470" w14:textId="77777777" w:rsidTr="00F84B31">
        <w:tc>
          <w:tcPr>
            <w:tcW w:w="439" w:type="pct"/>
            <w:vMerge/>
            <w:tcBorders>
              <w:left w:val="single" w:sz="12" w:space="0" w:color="auto"/>
              <w:bottom w:val="single" w:sz="8" w:space="0" w:color="auto"/>
              <w:right w:val="single" w:sz="8" w:space="0" w:color="auto"/>
            </w:tcBorders>
            <w:tcMar>
              <w:top w:w="0" w:type="dxa"/>
              <w:left w:w="108" w:type="dxa"/>
              <w:bottom w:w="0" w:type="dxa"/>
              <w:right w:w="108" w:type="dxa"/>
            </w:tcMar>
            <w:hideMark/>
          </w:tcPr>
          <w:p w14:paraId="7B4F197A" w14:textId="77777777" w:rsidR="006E3770" w:rsidRDefault="006E3770" w:rsidP="006E3770">
            <w:pPr>
              <w:ind w:right="-211"/>
            </w:pPr>
          </w:p>
        </w:tc>
        <w:tc>
          <w:tcPr>
            <w:tcW w:w="1539" w:type="pct"/>
            <w:vMerge/>
            <w:tcBorders>
              <w:left w:val="nil"/>
              <w:right w:val="single" w:sz="8" w:space="0" w:color="auto"/>
            </w:tcBorders>
            <w:shd w:val="clear" w:color="auto" w:fill="FFFFFF" w:themeFill="background1"/>
            <w:tcMar>
              <w:top w:w="0" w:type="dxa"/>
              <w:left w:w="108" w:type="dxa"/>
              <w:bottom w:w="0" w:type="dxa"/>
              <w:right w:w="108" w:type="dxa"/>
            </w:tcMar>
            <w:hideMark/>
          </w:tcPr>
          <w:p w14:paraId="24915F66" w14:textId="77777777" w:rsidR="006E3770" w:rsidRPr="00082D88" w:rsidRDefault="006E3770" w:rsidP="006E3770">
            <w:pPr>
              <w:ind w:right="-211"/>
            </w:pPr>
          </w:p>
        </w:tc>
        <w:tc>
          <w:tcPr>
            <w:tcW w:w="1924" w:type="pct"/>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8058C1E" w14:textId="2DB0E8D0" w:rsidR="006E3770" w:rsidRPr="00082D88" w:rsidRDefault="006E3770" w:rsidP="006E3770">
            <w:pPr>
              <w:ind w:right="-211"/>
            </w:pPr>
            <w:r w:rsidRPr="00082D88">
              <w:t xml:space="preserve">2. </w:t>
            </w:r>
            <w:r>
              <w:t>Duitsland</w:t>
            </w:r>
          </w:p>
        </w:tc>
        <w:tc>
          <w:tcPr>
            <w:tcW w:w="1097" w:type="pct"/>
            <w:tcBorders>
              <w:top w:val="nil"/>
              <w:left w:val="nil"/>
              <w:bottom w:val="single" w:sz="8" w:space="0" w:color="auto"/>
              <w:right w:val="single" w:sz="12" w:space="0" w:color="auto"/>
            </w:tcBorders>
            <w:shd w:val="clear" w:color="auto" w:fill="FFFFFF" w:themeFill="background1"/>
            <w:tcMar>
              <w:top w:w="0" w:type="dxa"/>
              <w:left w:w="108" w:type="dxa"/>
              <w:bottom w:w="0" w:type="dxa"/>
              <w:right w:w="108" w:type="dxa"/>
            </w:tcMar>
            <w:hideMark/>
          </w:tcPr>
          <w:p w14:paraId="07DD405B" w14:textId="4B9101A5" w:rsidR="006E3770" w:rsidRPr="00082D88" w:rsidRDefault="006E3770" w:rsidP="006E3770">
            <w:pPr>
              <w:ind w:right="-211"/>
              <w:jc w:val="right"/>
            </w:pPr>
            <w:r w:rsidRPr="00082D88">
              <w:t> </w:t>
            </w:r>
            <w:r w:rsidR="00D070F2">
              <w:rPr>
                <w:color w:val="000000"/>
              </w:rPr>
              <w:t>60,7</w:t>
            </w:r>
            <w:r w:rsidRPr="00082D88">
              <w:rPr>
                <w:color w:val="000000"/>
              </w:rPr>
              <w:t>1</w:t>
            </w:r>
          </w:p>
        </w:tc>
      </w:tr>
      <w:tr w:rsidR="006E3770" w14:paraId="43D49C75" w14:textId="77777777" w:rsidTr="00F84B31">
        <w:tc>
          <w:tcPr>
            <w:tcW w:w="439" w:type="pct"/>
            <w:vMerge/>
            <w:tcBorders>
              <w:left w:val="single" w:sz="12" w:space="0" w:color="auto"/>
              <w:bottom w:val="single" w:sz="8" w:space="0" w:color="auto"/>
              <w:right w:val="single" w:sz="8" w:space="0" w:color="auto"/>
            </w:tcBorders>
            <w:tcMar>
              <w:top w:w="0" w:type="dxa"/>
              <w:left w:w="108" w:type="dxa"/>
              <w:bottom w:w="0" w:type="dxa"/>
              <w:right w:w="108" w:type="dxa"/>
            </w:tcMar>
          </w:tcPr>
          <w:p w14:paraId="211D5B11" w14:textId="77777777" w:rsidR="006E3770" w:rsidRDefault="006E3770" w:rsidP="006E3770">
            <w:pPr>
              <w:ind w:right="-211"/>
            </w:pPr>
          </w:p>
        </w:tc>
        <w:tc>
          <w:tcPr>
            <w:tcW w:w="1539" w:type="pct"/>
            <w:vMerge/>
            <w:tcBorders>
              <w:left w:val="nil"/>
              <w:right w:val="single" w:sz="8" w:space="0" w:color="auto"/>
            </w:tcBorders>
            <w:shd w:val="clear" w:color="auto" w:fill="FFFFFF" w:themeFill="background1"/>
            <w:tcMar>
              <w:top w:w="0" w:type="dxa"/>
              <w:left w:w="108" w:type="dxa"/>
              <w:bottom w:w="0" w:type="dxa"/>
              <w:right w:w="108" w:type="dxa"/>
            </w:tcMar>
          </w:tcPr>
          <w:p w14:paraId="7E3B4E80" w14:textId="77777777" w:rsidR="006E3770" w:rsidRPr="00082D88" w:rsidRDefault="006E3770" w:rsidP="006E3770">
            <w:pPr>
              <w:ind w:right="-211"/>
            </w:pPr>
          </w:p>
        </w:tc>
        <w:tc>
          <w:tcPr>
            <w:tcW w:w="1924" w:type="pct"/>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443F6E99" w14:textId="64754D5D" w:rsidR="006E3770" w:rsidRPr="00082D88" w:rsidRDefault="006E3770" w:rsidP="006E3770">
            <w:pPr>
              <w:ind w:right="-211"/>
            </w:pPr>
            <w:r w:rsidRPr="00082D88">
              <w:t>3.</w:t>
            </w:r>
            <w:r>
              <w:t xml:space="preserve"> </w:t>
            </w:r>
            <w:r w:rsidRPr="00082D88">
              <w:t>Japan</w:t>
            </w:r>
          </w:p>
        </w:tc>
        <w:tc>
          <w:tcPr>
            <w:tcW w:w="1097" w:type="pct"/>
            <w:tcBorders>
              <w:top w:val="nil"/>
              <w:left w:val="nil"/>
              <w:bottom w:val="single" w:sz="8" w:space="0" w:color="auto"/>
              <w:right w:val="single" w:sz="12" w:space="0" w:color="auto"/>
            </w:tcBorders>
            <w:shd w:val="clear" w:color="auto" w:fill="FFFFFF" w:themeFill="background1"/>
            <w:tcMar>
              <w:top w:w="0" w:type="dxa"/>
              <w:left w:w="108" w:type="dxa"/>
              <w:bottom w:w="0" w:type="dxa"/>
              <w:right w:w="108" w:type="dxa"/>
            </w:tcMar>
          </w:tcPr>
          <w:p w14:paraId="5082C537" w14:textId="534D7A7C" w:rsidR="006E3770" w:rsidRPr="00082D88" w:rsidRDefault="00D070F2" w:rsidP="006E3770">
            <w:pPr>
              <w:jc w:val="right"/>
              <w:rPr>
                <w:color w:val="000000"/>
              </w:rPr>
            </w:pPr>
            <w:r>
              <w:rPr>
                <w:color w:val="000000"/>
              </w:rPr>
              <w:t xml:space="preserve"> </w:t>
            </w:r>
            <w:r w:rsidR="006E3770">
              <w:rPr>
                <w:color w:val="000000"/>
              </w:rPr>
              <w:t xml:space="preserve"> </w:t>
            </w:r>
            <w:r>
              <w:rPr>
                <w:color w:val="000000"/>
              </w:rPr>
              <w:t xml:space="preserve">        46,1</w:t>
            </w:r>
          </w:p>
        </w:tc>
      </w:tr>
      <w:tr w:rsidR="006E3770" w14:paraId="3C0957DB" w14:textId="77777777" w:rsidTr="00F84B31">
        <w:tc>
          <w:tcPr>
            <w:tcW w:w="439" w:type="pct"/>
            <w:vMerge/>
            <w:tcBorders>
              <w:left w:val="single" w:sz="12" w:space="0" w:color="auto"/>
              <w:bottom w:val="single" w:sz="12" w:space="0" w:color="auto"/>
              <w:right w:val="single" w:sz="8" w:space="0" w:color="auto"/>
            </w:tcBorders>
            <w:tcMar>
              <w:top w:w="0" w:type="dxa"/>
              <w:left w:w="108" w:type="dxa"/>
              <w:bottom w:w="0" w:type="dxa"/>
              <w:right w:w="108" w:type="dxa"/>
            </w:tcMar>
            <w:hideMark/>
          </w:tcPr>
          <w:p w14:paraId="4E83074D" w14:textId="77777777" w:rsidR="006E3770" w:rsidRDefault="006E3770" w:rsidP="006E3770">
            <w:pPr>
              <w:ind w:right="-211"/>
            </w:pPr>
          </w:p>
        </w:tc>
        <w:tc>
          <w:tcPr>
            <w:tcW w:w="1539" w:type="pct"/>
            <w:vMerge/>
            <w:tcBorders>
              <w:left w:val="nil"/>
              <w:bottom w:val="single" w:sz="12" w:space="0" w:color="auto"/>
              <w:right w:val="single" w:sz="8" w:space="0" w:color="auto"/>
            </w:tcBorders>
            <w:shd w:val="clear" w:color="auto" w:fill="FFFFFF" w:themeFill="background1"/>
            <w:tcMar>
              <w:top w:w="0" w:type="dxa"/>
              <w:left w:w="108" w:type="dxa"/>
              <w:bottom w:w="0" w:type="dxa"/>
              <w:right w:w="108" w:type="dxa"/>
            </w:tcMar>
            <w:hideMark/>
          </w:tcPr>
          <w:p w14:paraId="13BBE3CD" w14:textId="77777777" w:rsidR="006E3770" w:rsidRPr="00082D88" w:rsidRDefault="006E3770" w:rsidP="006E3770">
            <w:pPr>
              <w:ind w:right="-211"/>
            </w:pPr>
          </w:p>
        </w:tc>
        <w:tc>
          <w:tcPr>
            <w:tcW w:w="1924" w:type="pct"/>
            <w:tcBorders>
              <w:top w:val="nil"/>
              <w:left w:val="nil"/>
              <w:bottom w:val="single" w:sz="12" w:space="0" w:color="auto"/>
              <w:right w:val="single" w:sz="8" w:space="0" w:color="auto"/>
            </w:tcBorders>
            <w:shd w:val="clear" w:color="auto" w:fill="FFFFFF" w:themeFill="background1"/>
            <w:tcMar>
              <w:top w:w="0" w:type="dxa"/>
              <w:left w:w="108" w:type="dxa"/>
              <w:bottom w:w="0" w:type="dxa"/>
              <w:right w:w="108" w:type="dxa"/>
            </w:tcMar>
            <w:hideMark/>
          </w:tcPr>
          <w:p w14:paraId="2A1EE63F" w14:textId="77777777" w:rsidR="006E3770" w:rsidRPr="00724360" w:rsidRDefault="006E3770" w:rsidP="006E3770">
            <w:pPr>
              <w:ind w:right="-211"/>
              <w:rPr>
                <w:b/>
              </w:rPr>
            </w:pPr>
            <w:r w:rsidRPr="00724360">
              <w:rPr>
                <w:b/>
              </w:rPr>
              <w:t xml:space="preserve">10. Nederland </w:t>
            </w:r>
          </w:p>
        </w:tc>
        <w:tc>
          <w:tcPr>
            <w:tcW w:w="1097" w:type="pct"/>
            <w:tcBorders>
              <w:top w:val="nil"/>
              <w:left w:val="nil"/>
              <w:bottom w:val="single" w:sz="12" w:space="0" w:color="auto"/>
              <w:right w:val="single" w:sz="12" w:space="0" w:color="auto"/>
            </w:tcBorders>
            <w:shd w:val="clear" w:color="auto" w:fill="FFFFFF" w:themeFill="background1"/>
            <w:tcMar>
              <w:top w:w="0" w:type="dxa"/>
              <w:left w:w="108" w:type="dxa"/>
              <w:bottom w:w="0" w:type="dxa"/>
              <w:right w:w="108" w:type="dxa"/>
            </w:tcMar>
            <w:hideMark/>
          </w:tcPr>
          <w:p w14:paraId="7E73D041" w14:textId="0F30775D" w:rsidR="006E3770" w:rsidRPr="00082D88" w:rsidRDefault="00D070F2" w:rsidP="006E3770">
            <w:pPr>
              <w:ind w:right="-211"/>
              <w:jc w:val="right"/>
            </w:pPr>
            <w:r>
              <w:t> 15,0</w:t>
            </w:r>
            <w:r w:rsidR="006E3770" w:rsidRPr="00082D88">
              <w:t>4</w:t>
            </w:r>
          </w:p>
        </w:tc>
      </w:tr>
    </w:tbl>
    <w:p w14:paraId="4D7C4B58" w14:textId="77777777" w:rsidR="00E75648" w:rsidRDefault="00E75648" w:rsidP="00864054"/>
    <w:p w14:paraId="321FDE6F" w14:textId="77777777" w:rsidR="00F935E0" w:rsidRPr="00543B42" w:rsidRDefault="00F935E0" w:rsidP="00B95FC2"/>
    <w:p w14:paraId="10FA9427" w14:textId="1DE446A6" w:rsidR="009811DF" w:rsidRDefault="009C7D08" w:rsidP="00F24A31">
      <w:pPr>
        <w:pStyle w:val="Heading1"/>
        <w:tabs>
          <w:tab w:val="num" w:pos="0"/>
        </w:tabs>
        <w:spacing w:after="240" w:line="240" w:lineRule="auto"/>
        <w:ind w:hanging="1162"/>
      </w:pPr>
      <w:bookmarkStart w:id="30" w:name="_Toc490833559"/>
      <w:r>
        <w:lastRenderedPageBreak/>
        <w:t>4</w:t>
      </w:r>
      <w:r w:rsidR="00F24A31">
        <w:t xml:space="preserve"> </w:t>
      </w:r>
      <w:r w:rsidR="00F24A31">
        <w:tab/>
      </w:r>
      <w:r w:rsidR="006C1EB0">
        <w:t>Institutionele aspecten</w:t>
      </w:r>
      <w:r w:rsidR="00D745A7">
        <w:t xml:space="preserve"> </w:t>
      </w:r>
      <w:r w:rsidR="009B1466">
        <w:t xml:space="preserve">en functioneren </w:t>
      </w:r>
      <w:r w:rsidR="00D745A7">
        <w:t>van de organisatie</w:t>
      </w:r>
      <w:bookmarkEnd w:id="30"/>
    </w:p>
    <w:p w14:paraId="5E635CF2" w14:textId="77777777" w:rsidR="009C7D08" w:rsidRPr="009C7D08" w:rsidRDefault="009C7D08" w:rsidP="009C7D08">
      <w:pPr>
        <w:pStyle w:val="ListParagraph"/>
        <w:keepNext/>
        <w:widowControl w:val="0"/>
        <w:numPr>
          <w:ilvl w:val="0"/>
          <w:numId w:val="20"/>
        </w:numPr>
        <w:tabs>
          <w:tab w:val="left" w:pos="-1162"/>
          <w:tab w:val="left" w:pos="0"/>
        </w:tabs>
        <w:spacing w:before="200" w:after="0" w:line="240" w:lineRule="auto"/>
        <w:outlineLvl w:val="1"/>
        <w:rPr>
          <w:rFonts w:ascii="Verdana" w:eastAsia="Times New Roman" w:hAnsi="Verdana" w:cs="Arial"/>
          <w:b/>
          <w:iCs/>
          <w:vanish/>
          <w:kern w:val="32"/>
          <w:sz w:val="18"/>
          <w:szCs w:val="28"/>
          <w:lang w:eastAsia="nl-NL"/>
        </w:rPr>
      </w:pPr>
    </w:p>
    <w:p w14:paraId="6201F9FD" w14:textId="77777777" w:rsidR="009C7D08" w:rsidRPr="009C7D08" w:rsidRDefault="009C7D08" w:rsidP="009C7D08">
      <w:pPr>
        <w:pStyle w:val="ListParagraph"/>
        <w:keepNext/>
        <w:widowControl w:val="0"/>
        <w:numPr>
          <w:ilvl w:val="0"/>
          <w:numId w:val="20"/>
        </w:numPr>
        <w:tabs>
          <w:tab w:val="left" w:pos="-1162"/>
          <w:tab w:val="left" w:pos="0"/>
        </w:tabs>
        <w:spacing w:before="200" w:after="0" w:line="240" w:lineRule="auto"/>
        <w:outlineLvl w:val="1"/>
        <w:rPr>
          <w:rFonts w:ascii="Verdana" w:eastAsia="Times New Roman" w:hAnsi="Verdana" w:cs="Arial"/>
          <w:b/>
          <w:iCs/>
          <w:vanish/>
          <w:kern w:val="32"/>
          <w:sz w:val="18"/>
          <w:szCs w:val="28"/>
          <w:lang w:eastAsia="nl-NL"/>
        </w:rPr>
      </w:pPr>
    </w:p>
    <w:p w14:paraId="1B28C1C2" w14:textId="6D32B03F" w:rsidR="00094518" w:rsidRDefault="00ED6C2B" w:rsidP="009C7D08">
      <w:pPr>
        <w:pStyle w:val="Heading2"/>
        <w:numPr>
          <w:ilvl w:val="1"/>
          <w:numId w:val="20"/>
        </w:numPr>
        <w:tabs>
          <w:tab w:val="left" w:pos="-1162"/>
          <w:tab w:val="left" w:pos="0"/>
        </w:tabs>
        <w:spacing w:line="240" w:lineRule="auto"/>
      </w:pPr>
      <w:r>
        <w:t xml:space="preserve">      </w:t>
      </w:r>
      <w:r w:rsidR="009C7D08">
        <w:t xml:space="preserve"> </w:t>
      </w:r>
      <w:r w:rsidR="006E3770">
        <w:tab/>
      </w:r>
      <w:bookmarkStart w:id="31" w:name="_Toc490833560"/>
      <w:r w:rsidR="00743337">
        <w:t xml:space="preserve">Strategie en </w:t>
      </w:r>
      <w:r w:rsidR="002A310E">
        <w:t>verantwoording</w:t>
      </w:r>
      <w:bookmarkEnd w:id="31"/>
    </w:p>
    <w:p w14:paraId="1C695760" w14:textId="77777777" w:rsidR="00D14B8F" w:rsidRDefault="000551BB" w:rsidP="000551BB">
      <w:r>
        <w:t xml:space="preserve">Het mandaat van de </w:t>
      </w:r>
      <w:r w:rsidRPr="00D660ED">
        <w:t xml:space="preserve">ILO </w:t>
      </w:r>
      <w:r>
        <w:t xml:space="preserve">bestaat uit de vier pijlers van de </w:t>
      </w:r>
      <w:r w:rsidRPr="00D660ED">
        <w:rPr>
          <w:i/>
        </w:rPr>
        <w:t>Decent Work Agenda</w:t>
      </w:r>
      <w:r w:rsidRPr="00D660ED">
        <w:t xml:space="preserve"> (DWA)</w:t>
      </w:r>
      <w:r>
        <w:t xml:space="preserve">: </w:t>
      </w:r>
      <w:r w:rsidRPr="00D660ED">
        <w:t>werkgelegenheid, sociale bescherming, s</w:t>
      </w:r>
      <w:r>
        <w:t xml:space="preserve">ociale dialoog en arbeidsnormen. </w:t>
      </w:r>
    </w:p>
    <w:p w14:paraId="1F93F699" w14:textId="656DD812" w:rsidR="00D14B8F" w:rsidRPr="0005766E" w:rsidRDefault="000551BB" w:rsidP="000551BB">
      <w:r>
        <w:t>De d</w:t>
      </w:r>
      <w:r>
        <w:rPr>
          <w:rFonts w:cs="Calibri"/>
        </w:rPr>
        <w:t xml:space="preserve">irecteur-generaal </w:t>
      </w:r>
      <w:r w:rsidRPr="00094F46">
        <w:rPr>
          <w:rFonts w:cs="Calibri"/>
        </w:rPr>
        <w:t>heeft</w:t>
      </w:r>
      <w:r>
        <w:rPr>
          <w:rFonts w:cs="Calibri"/>
        </w:rPr>
        <w:t xml:space="preserve"> </w:t>
      </w:r>
      <w:r>
        <w:rPr>
          <w:rFonts w:eastAsia="Verdana" w:cs="Calibri"/>
        </w:rPr>
        <w:t xml:space="preserve">met zijn </w:t>
      </w:r>
      <w:r>
        <w:rPr>
          <w:rFonts w:cs="Calibri"/>
        </w:rPr>
        <w:t xml:space="preserve">uitgebreide </w:t>
      </w:r>
      <w:r w:rsidRPr="00094F46">
        <w:rPr>
          <w:rFonts w:cs="Calibri"/>
        </w:rPr>
        <w:t>inhoudelijke</w:t>
      </w:r>
      <w:r>
        <w:rPr>
          <w:rFonts w:cs="Calibri"/>
        </w:rPr>
        <w:t xml:space="preserve"> </w:t>
      </w:r>
      <w:r w:rsidRPr="00094F46">
        <w:rPr>
          <w:rFonts w:cs="Calibri"/>
        </w:rPr>
        <w:t>en</w:t>
      </w:r>
      <w:r>
        <w:rPr>
          <w:rFonts w:cs="Calibri"/>
        </w:rPr>
        <w:t xml:space="preserve"> </w:t>
      </w:r>
      <w:r w:rsidRPr="00094F46">
        <w:rPr>
          <w:rFonts w:cs="Calibri"/>
        </w:rPr>
        <w:t>organisatorische</w:t>
      </w:r>
      <w:r>
        <w:rPr>
          <w:rFonts w:cs="Calibri"/>
        </w:rPr>
        <w:t xml:space="preserve"> hervormingsagenda </w:t>
      </w:r>
      <w:r>
        <w:rPr>
          <w:rFonts w:eastAsia="Verdana" w:cs="Calibri"/>
        </w:rPr>
        <w:t xml:space="preserve">tot </w:t>
      </w:r>
      <w:r>
        <w:rPr>
          <w:rFonts w:cs="Calibri"/>
        </w:rPr>
        <w:t xml:space="preserve">doel </w:t>
      </w:r>
      <w:r w:rsidRPr="00094F46">
        <w:rPr>
          <w:rFonts w:cs="Calibri"/>
        </w:rPr>
        <w:t>meer</w:t>
      </w:r>
      <w:r>
        <w:rPr>
          <w:rFonts w:cs="Calibri"/>
        </w:rPr>
        <w:t xml:space="preserve"> </w:t>
      </w:r>
      <w:r w:rsidRPr="00094F46">
        <w:rPr>
          <w:rFonts w:cs="Calibri"/>
        </w:rPr>
        <w:t>focus</w:t>
      </w:r>
      <w:r>
        <w:rPr>
          <w:rFonts w:cs="Calibri"/>
        </w:rPr>
        <w:t xml:space="preserve"> </w:t>
      </w:r>
      <w:r w:rsidRPr="00094F46">
        <w:rPr>
          <w:rFonts w:cs="Calibri"/>
        </w:rPr>
        <w:t>aan</w:t>
      </w:r>
      <w:r>
        <w:rPr>
          <w:rFonts w:cs="Calibri"/>
        </w:rPr>
        <w:t xml:space="preserve"> te </w:t>
      </w:r>
      <w:r w:rsidRPr="00094F46">
        <w:rPr>
          <w:rFonts w:cs="Calibri"/>
        </w:rPr>
        <w:t>brengen</w:t>
      </w:r>
      <w:r>
        <w:rPr>
          <w:rFonts w:cs="Calibri"/>
        </w:rPr>
        <w:t xml:space="preserve"> </w:t>
      </w:r>
      <w:r w:rsidRPr="00094F46">
        <w:rPr>
          <w:rFonts w:cs="Calibri"/>
        </w:rPr>
        <w:t>in</w:t>
      </w:r>
      <w:r>
        <w:rPr>
          <w:rFonts w:cs="Calibri"/>
        </w:rPr>
        <w:t xml:space="preserve"> </w:t>
      </w:r>
      <w:r w:rsidRPr="00094F46">
        <w:rPr>
          <w:rFonts w:cs="Calibri"/>
        </w:rPr>
        <w:t>het</w:t>
      </w:r>
      <w:r>
        <w:rPr>
          <w:rFonts w:cs="Calibri"/>
        </w:rPr>
        <w:t xml:space="preserve"> </w:t>
      </w:r>
      <w:r w:rsidRPr="00094F46">
        <w:rPr>
          <w:rFonts w:cs="Calibri"/>
        </w:rPr>
        <w:t>werk</w:t>
      </w:r>
      <w:r>
        <w:rPr>
          <w:rFonts w:cs="Calibri"/>
        </w:rPr>
        <w:t xml:space="preserve"> </w:t>
      </w:r>
      <w:r w:rsidRPr="00094F46">
        <w:rPr>
          <w:rFonts w:cs="Calibri"/>
        </w:rPr>
        <w:t>van</w:t>
      </w:r>
      <w:r>
        <w:rPr>
          <w:rFonts w:cs="Calibri"/>
        </w:rPr>
        <w:t xml:space="preserve"> </w:t>
      </w:r>
      <w:r w:rsidRPr="00094F46">
        <w:rPr>
          <w:rFonts w:cs="Calibri"/>
        </w:rPr>
        <w:t>de</w:t>
      </w:r>
      <w:r>
        <w:rPr>
          <w:rFonts w:cs="Calibri"/>
        </w:rPr>
        <w:t xml:space="preserve"> </w:t>
      </w:r>
      <w:r w:rsidRPr="00094F46">
        <w:rPr>
          <w:rFonts w:cs="Calibri"/>
        </w:rPr>
        <w:t>ILO.</w:t>
      </w:r>
      <w:r>
        <w:rPr>
          <w:rFonts w:cs="Calibri"/>
        </w:rPr>
        <w:t xml:space="preserve"> </w:t>
      </w:r>
      <w:r>
        <w:t xml:space="preserve">In zijn </w:t>
      </w:r>
      <w:r w:rsidRPr="00F42089">
        <w:t>rapport “</w:t>
      </w:r>
      <w:r w:rsidRPr="00235872">
        <w:rPr>
          <w:i/>
        </w:rPr>
        <w:t>Towards the ILO centenary: Realities, renewal</w:t>
      </w:r>
      <w:r>
        <w:rPr>
          <w:i/>
        </w:rPr>
        <w:t xml:space="preserve"> </w:t>
      </w:r>
      <w:r w:rsidRPr="00235872">
        <w:rPr>
          <w:i/>
        </w:rPr>
        <w:t>and tripartite commitment</w:t>
      </w:r>
      <w:r w:rsidRPr="00F42089">
        <w:t xml:space="preserve">” </w:t>
      </w:r>
      <w:r>
        <w:t xml:space="preserve">schetst Ryder </w:t>
      </w:r>
      <w:r w:rsidRPr="00F42089">
        <w:t xml:space="preserve">zijn toekomstvisie voor de ILO. </w:t>
      </w:r>
      <w:r>
        <w:t xml:space="preserve">Dit bevat ook </w:t>
      </w:r>
      <w:r w:rsidRPr="00F42089">
        <w:t xml:space="preserve">een aantal </w:t>
      </w:r>
      <w:r>
        <w:t xml:space="preserve">inhoudelijke aandachtspunten </w:t>
      </w:r>
      <w:r w:rsidRPr="00F42089">
        <w:t>voor</w:t>
      </w:r>
      <w:r>
        <w:t xml:space="preserve"> de ILO, waaronder </w:t>
      </w:r>
      <w:r w:rsidRPr="00F42089">
        <w:t xml:space="preserve">meer aandacht voor de manier waarop ILO-standaarden worden opgesteld, armoedebestrijding en </w:t>
      </w:r>
      <w:r>
        <w:t>de behoefte aan</w:t>
      </w:r>
      <w:r w:rsidR="00914347">
        <w:t xml:space="preserve"> </w:t>
      </w:r>
      <w:r w:rsidRPr="00F42089">
        <w:t xml:space="preserve">meer </w:t>
      </w:r>
      <w:r w:rsidRPr="00235872">
        <w:rPr>
          <w:i/>
        </w:rPr>
        <w:t>outreach</w:t>
      </w:r>
      <w:r w:rsidRPr="00F42089">
        <w:t xml:space="preserve"> naar individuele bedrijven</w:t>
      </w:r>
      <w:r>
        <w:t xml:space="preserve">. </w:t>
      </w:r>
      <w:r w:rsidR="0005766E">
        <w:t xml:space="preserve">In het </w:t>
      </w:r>
      <w:r w:rsidR="0005766E">
        <w:rPr>
          <w:i/>
        </w:rPr>
        <w:t>ILO 2030 Implementation Plan</w:t>
      </w:r>
      <w:r w:rsidR="0005766E">
        <w:t>, gepubliceerd in 2016, presenteert de ILO hoe zij zullen bijdragen aan de implementatie van de SDG</w:t>
      </w:r>
      <w:r w:rsidR="00B21ABE">
        <w:t>’</w:t>
      </w:r>
      <w:r w:rsidR="0005766E">
        <w:t xml:space="preserve">s. </w:t>
      </w:r>
      <w:r w:rsidR="00C41C58">
        <w:t xml:space="preserve">De organisatie legt over de te volgen </w:t>
      </w:r>
      <w:r w:rsidR="006A10B3">
        <w:t>strategie</w:t>
      </w:r>
      <w:r w:rsidR="00C41C58">
        <w:t xml:space="preserve"> en resultaten verantwoording af aan de Beheersraad, in het bijzonder naar aanleiding van de tweejaarlijkse </w:t>
      </w:r>
      <w:r w:rsidR="00C41C58" w:rsidRPr="285452C2">
        <w:rPr>
          <w:i/>
          <w:iCs/>
        </w:rPr>
        <w:t xml:space="preserve">Programme Implementation Reports </w:t>
      </w:r>
      <w:r w:rsidR="00C41C58" w:rsidRPr="285452C2">
        <w:t xml:space="preserve">en de bespreking van het </w:t>
      </w:r>
      <w:r w:rsidR="00C41C58" w:rsidRPr="285452C2">
        <w:rPr>
          <w:i/>
          <w:iCs/>
        </w:rPr>
        <w:t>Programma en Budget.</w:t>
      </w:r>
    </w:p>
    <w:p w14:paraId="5E79BBA2" w14:textId="77777777" w:rsidR="00D14B8F" w:rsidRDefault="00D14B8F" w:rsidP="000551BB"/>
    <w:p w14:paraId="40AF3A11" w14:textId="35962FC2" w:rsidR="000551BB" w:rsidRDefault="000551BB" w:rsidP="000551BB">
      <w:r w:rsidRPr="00F117C7">
        <w:rPr>
          <w:rFonts w:cs="Calibri"/>
        </w:rPr>
        <w:t xml:space="preserve">Het </w:t>
      </w:r>
      <w:r w:rsidRPr="00546F50">
        <w:rPr>
          <w:rFonts w:cs="Calibri"/>
          <w:i/>
        </w:rPr>
        <w:t>Strategic Policy Framework</w:t>
      </w:r>
      <w:r>
        <w:rPr>
          <w:rFonts w:cs="Calibri"/>
          <w:i/>
        </w:rPr>
        <w:t xml:space="preserve"> </w:t>
      </w:r>
      <w:r>
        <w:rPr>
          <w:rFonts w:cs="Calibri"/>
        </w:rPr>
        <w:t xml:space="preserve">(SPF) gaat in op de koers van de organisatie op de middellange termijn, wat het wil bereiken en hoe. Daarop aansluitend wordt gebruik gemaakt van een </w:t>
      </w:r>
      <w:r>
        <w:t>tweejaarlijks</w:t>
      </w:r>
      <w:r w:rsidRPr="00546F50">
        <w:t xml:space="preserve"> werkprogramma (</w:t>
      </w:r>
      <w:r w:rsidRPr="005134F1">
        <w:t>P&amp;B</w:t>
      </w:r>
      <w:r w:rsidRPr="00546F50">
        <w:t>)</w:t>
      </w:r>
      <w:r>
        <w:t>.</w:t>
      </w:r>
      <w:r w:rsidR="001663B0">
        <w:t xml:space="preserve"> Het huidige SPF is eenmalig voor een tweejarige periode opgesteld, waardoor de ILO nu in de pas loopt met andere VN-organisaties en de cyclus van de QCPR. </w:t>
      </w:r>
      <w:r w:rsidR="00D30BF5">
        <w:t xml:space="preserve">In het huidige SPF en P&amp;B zijn de resultaatgebieden verminderd van 19 naar 10 om een scherpere focus te leggen binnen de organisatie. De ontwikkelingsactiviteiten zijn nader uitgewerkt in de </w:t>
      </w:r>
      <w:r w:rsidR="00D30BF5">
        <w:rPr>
          <w:i/>
        </w:rPr>
        <w:t xml:space="preserve">Development Cooperation Strategy </w:t>
      </w:r>
      <w:r w:rsidR="00D30BF5">
        <w:t xml:space="preserve">(2015-2017). </w:t>
      </w:r>
      <w:r>
        <w:t xml:space="preserve">Een van de uitvoeringsprincipes hierbij is dat aan alle activiteiten een </w:t>
      </w:r>
      <w:r w:rsidRPr="00323AF6">
        <w:rPr>
          <w:i/>
        </w:rPr>
        <w:t>Theory of Change</w:t>
      </w:r>
      <w:r>
        <w:t xml:space="preserve"> ten grondslag moet liggen.</w:t>
      </w:r>
      <w:r w:rsidR="285452C2">
        <w:t xml:space="preserve"> In het Programma en Budget voor 2018-</w:t>
      </w:r>
      <w:r w:rsidR="00914347">
        <w:t>20</w:t>
      </w:r>
      <w:r w:rsidR="285452C2">
        <w:t xml:space="preserve">19 is onder elke </w:t>
      </w:r>
      <w:r w:rsidR="285452C2" w:rsidRPr="285452C2">
        <w:rPr>
          <w:i/>
          <w:iCs/>
        </w:rPr>
        <w:t xml:space="preserve">outcome </w:t>
      </w:r>
      <w:r w:rsidR="285452C2" w:rsidRPr="285452C2">
        <w:t xml:space="preserve">uitgewerkt wat de beoogde veranderingen zijn die de ILO wil bewerkstelligen, hoe dit zich verhoudt tot de huidige realiteit in verschillende landensituaties, welke lessen de ILO geleerd heeft door interventies in de afgelopen jaren en welke bedreigingen er zijn voor het behalen van resultaat. Op initiatief van de ILO is afgesproken om met de IMEC-groep en de ILO nog nader in gesprek te treden om ervoor te zorgen dat </w:t>
      </w:r>
      <w:r w:rsidR="285452C2" w:rsidRPr="285452C2">
        <w:rPr>
          <w:i/>
          <w:iCs/>
        </w:rPr>
        <w:t xml:space="preserve">targets </w:t>
      </w:r>
      <w:r w:rsidR="285452C2" w:rsidRPr="285452C2">
        <w:t xml:space="preserve">en indicatoren beter aansluiten bij de </w:t>
      </w:r>
      <w:r w:rsidR="285452C2" w:rsidRPr="285452C2">
        <w:rPr>
          <w:i/>
          <w:iCs/>
        </w:rPr>
        <w:t xml:space="preserve">Theory of Change </w:t>
      </w:r>
      <w:r w:rsidR="285452C2" w:rsidRPr="285452C2">
        <w:t xml:space="preserve">en meer zeggingskracht krijgen over de bijdrage van de ILO aan beoogde resultaten. </w:t>
      </w:r>
    </w:p>
    <w:p w14:paraId="610AFF7E" w14:textId="77777777" w:rsidR="0017257E" w:rsidRDefault="0017257E" w:rsidP="000551BB"/>
    <w:p w14:paraId="1AEE59AE" w14:textId="091CC863" w:rsidR="000551BB" w:rsidRDefault="0017257E" w:rsidP="000551BB">
      <w:r>
        <w:t xml:space="preserve">De </w:t>
      </w:r>
      <w:r>
        <w:rPr>
          <w:i/>
        </w:rPr>
        <w:t>Decent Work Country Programmes</w:t>
      </w:r>
      <w:r>
        <w:t xml:space="preserve"> (DWCP) sluiten ook steeds beter aan bij nationaal beleid. In 2014 stelde een onafhankelijke evaluatie nog dat deze programma’s beter aangesloten moeten worden op nationaal beleid. </w:t>
      </w:r>
      <w:r w:rsidR="00D4733F">
        <w:t>Hier is gehoor aan gegeven in de 2015 richtlijnen voor het opstellen van DWCP</w:t>
      </w:r>
      <w:r w:rsidR="00914347">
        <w:t>’</w:t>
      </w:r>
      <w:r w:rsidR="00D4733F">
        <w:t>s: een aantal prioriteiten in het DWCP moeten in lijn zijn met nationale ontwikkelingsplannen, nationale planningsraamwerken (</w:t>
      </w:r>
      <w:r w:rsidR="00D4733F">
        <w:rPr>
          <w:i/>
        </w:rPr>
        <w:t>country planning frameworks</w:t>
      </w:r>
      <w:r w:rsidR="00D4733F">
        <w:t xml:space="preserve">) en prioriteiten gesteld door sociale partners </w:t>
      </w:r>
      <w:r w:rsidR="285452C2">
        <w:t>en overheid va</w:t>
      </w:r>
      <w:r w:rsidR="00D4733F">
        <w:t>n dat land.</w:t>
      </w:r>
    </w:p>
    <w:p w14:paraId="43D264CB" w14:textId="77777777" w:rsidR="285452C2" w:rsidRDefault="285452C2" w:rsidP="285452C2"/>
    <w:p w14:paraId="326632DC" w14:textId="6C8E05C8" w:rsidR="285452C2" w:rsidRDefault="285452C2" w:rsidP="285452C2">
      <w:r w:rsidRPr="285452C2">
        <w:t xml:space="preserve">Een belangrijke kanttekening bij de strategie en het functioneren van de ILO is dat hierbij de </w:t>
      </w:r>
      <w:r w:rsidRPr="285452C2">
        <w:rPr>
          <w:i/>
          <w:iCs/>
        </w:rPr>
        <w:t xml:space="preserve">constituents - </w:t>
      </w:r>
      <w:r w:rsidRPr="285452C2">
        <w:t>overheden, werkgeversorganisaties en vakbonden - het primaat hebben.</w:t>
      </w:r>
      <w:r w:rsidR="00914347">
        <w:t xml:space="preserve"> </w:t>
      </w:r>
      <w:r w:rsidRPr="285452C2">
        <w:t>Dit betekent dat andere belangrijke partijen voor het SZW-domein (bedrijven</w:t>
      </w:r>
      <w:r w:rsidR="003553A7">
        <w:t xml:space="preserve"> die geen lid zijn van een werkgeversorganisatie</w:t>
      </w:r>
      <w:r w:rsidRPr="285452C2">
        <w:t>, NGO</w:t>
      </w:r>
      <w:r w:rsidR="006A10B3">
        <w:t>’</w:t>
      </w:r>
      <w:r w:rsidRPr="285452C2">
        <w:t xml:space="preserve">s, werknemers die niet aangesloten zijn bij een vakbond, werklozen), minder of geen invloed hebben op de organisatie. Onder het </w:t>
      </w:r>
      <w:r w:rsidRPr="285452C2">
        <w:rPr>
          <w:i/>
          <w:iCs/>
        </w:rPr>
        <w:t xml:space="preserve">Future of Work Initiative </w:t>
      </w:r>
      <w:r w:rsidRPr="285452C2">
        <w:t xml:space="preserve">wordt ook gesproken over de toekomst van de ILO en tripartisme. Dit is een belangrijke discussie voor het toekomstige draagvlak voor de ILO. </w:t>
      </w:r>
    </w:p>
    <w:p w14:paraId="2D81FC7A" w14:textId="77777777" w:rsidR="009711D9" w:rsidRDefault="009711D9" w:rsidP="00326699"/>
    <w:p w14:paraId="601442E2" w14:textId="77777777" w:rsidR="005A07F5" w:rsidRDefault="005A07F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9A513F" w14:paraId="66C7AE80" w14:textId="77777777" w:rsidTr="005A07F5">
        <w:tc>
          <w:tcPr>
            <w:tcW w:w="6748" w:type="dxa"/>
            <w:tcBorders>
              <w:top w:val="single" w:sz="12" w:space="0" w:color="auto"/>
              <w:left w:val="single" w:sz="12" w:space="0" w:color="auto"/>
              <w:bottom w:val="single" w:sz="12" w:space="0" w:color="auto"/>
            </w:tcBorders>
            <w:shd w:val="clear" w:color="auto" w:fill="D9D9D9"/>
          </w:tcPr>
          <w:p w14:paraId="4A04C36E" w14:textId="62D6A8BD" w:rsidR="009A513F" w:rsidRPr="00EA0AA8" w:rsidRDefault="009A513F" w:rsidP="00326699">
            <w:pPr>
              <w:rPr>
                <w:b/>
              </w:rPr>
            </w:pPr>
            <w:r w:rsidRPr="00EA0AA8">
              <w:rPr>
                <w:b/>
              </w:rPr>
              <w:lastRenderedPageBreak/>
              <w:t>Onderdeel</w:t>
            </w:r>
          </w:p>
        </w:tc>
        <w:tc>
          <w:tcPr>
            <w:tcW w:w="949" w:type="dxa"/>
            <w:tcBorders>
              <w:top w:val="single" w:sz="12" w:space="0" w:color="auto"/>
              <w:bottom w:val="single" w:sz="12" w:space="0" w:color="auto"/>
              <w:right w:val="single" w:sz="12" w:space="0" w:color="auto"/>
            </w:tcBorders>
            <w:shd w:val="clear" w:color="auto" w:fill="D9D9D9"/>
          </w:tcPr>
          <w:p w14:paraId="5474A1B5" w14:textId="77777777" w:rsidR="009A513F" w:rsidRPr="00EA0AA8" w:rsidRDefault="009A513F" w:rsidP="00326699">
            <w:pPr>
              <w:rPr>
                <w:b/>
              </w:rPr>
            </w:pPr>
            <w:r w:rsidRPr="00EA0AA8">
              <w:rPr>
                <w:b/>
              </w:rPr>
              <w:t>Score</w:t>
            </w:r>
          </w:p>
        </w:tc>
      </w:tr>
      <w:tr w:rsidR="009A513F" w14:paraId="6C5B4AAF" w14:textId="77777777" w:rsidTr="005A07F5">
        <w:tc>
          <w:tcPr>
            <w:tcW w:w="6748" w:type="dxa"/>
            <w:tcBorders>
              <w:top w:val="single" w:sz="12" w:space="0" w:color="auto"/>
              <w:left w:val="single" w:sz="12" w:space="0" w:color="auto"/>
            </w:tcBorders>
            <w:shd w:val="clear" w:color="auto" w:fill="auto"/>
          </w:tcPr>
          <w:p w14:paraId="523586B3" w14:textId="77777777" w:rsidR="009A513F" w:rsidRDefault="00DE2DA8" w:rsidP="00326699">
            <w:r>
              <w:t>Kernmandaat / Prioriteiten / Mission Creep</w:t>
            </w:r>
          </w:p>
        </w:tc>
        <w:tc>
          <w:tcPr>
            <w:tcW w:w="949" w:type="dxa"/>
            <w:tcBorders>
              <w:top w:val="single" w:sz="12" w:space="0" w:color="auto"/>
              <w:right w:val="single" w:sz="12" w:space="0" w:color="auto"/>
            </w:tcBorders>
            <w:shd w:val="clear" w:color="auto" w:fill="auto"/>
          </w:tcPr>
          <w:p w14:paraId="37070ADD" w14:textId="77777777" w:rsidR="009A513F" w:rsidRDefault="000551BB" w:rsidP="00326699">
            <w:r>
              <w:t>4</w:t>
            </w:r>
            <w:r w:rsidR="00C02F62">
              <w:t xml:space="preserve"> </w:t>
            </w:r>
          </w:p>
        </w:tc>
      </w:tr>
      <w:tr w:rsidR="009A513F" w14:paraId="46AA41A4" w14:textId="77777777" w:rsidTr="005A07F5">
        <w:tc>
          <w:tcPr>
            <w:tcW w:w="6748" w:type="dxa"/>
            <w:tcBorders>
              <w:left w:val="single" w:sz="12" w:space="0" w:color="auto"/>
            </w:tcBorders>
            <w:shd w:val="clear" w:color="auto" w:fill="auto"/>
          </w:tcPr>
          <w:p w14:paraId="11760CB0" w14:textId="77777777" w:rsidR="009A513F" w:rsidRDefault="00DE2DA8" w:rsidP="00326699">
            <w:r>
              <w:t>Beleidsstrategie</w:t>
            </w:r>
          </w:p>
        </w:tc>
        <w:tc>
          <w:tcPr>
            <w:tcW w:w="949" w:type="dxa"/>
            <w:tcBorders>
              <w:right w:val="single" w:sz="12" w:space="0" w:color="auto"/>
            </w:tcBorders>
            <w:shd w:val="clear" w:color="auto" w:fill="auto"/>
          </w:tcPr>
          <w:p w14:paraId="7B5D3B5E" w14:textId="77777777" w:rsidR="009A513F" w:rsidRDefault="00C02F62" w:rsidP="00326699">
            <w:r>
              <w:t xml:space="preserve">4 </w:t>
            </w:r>
          </w:p>
        </w:tc>
      </w:tr>
      <w:tr w:rsidR="009A513F" w14:paraId="5A334B8F" w14:textId="77777777" w:rsidTr="005A07F5">
        <w:tc>
          <w:tcPr>
            <w:tcW w:w="6748" w:type="dxa"/>
            <w:tcBorders>
              <w:left w:val="single" w:sz="12" w:space="0" w:color="auto"/>
              <w:bottom w:val="single" w:sz="4" w:space="0" w:color="auto"/>
            </w:tcBorders>
            <w:shd w:val="clear" w:color="auto" w:fill="auto"/>
          </w:tcPr>
          <w:p w14:paraId="652344A8" w14:textId="77777777" w:rsidR="009A513F" w:rsidRPr="008F25FA" w:rsidRDefault="00DE2DA8" w:rsidP="00326699">
            <w:r w:rsidRPr="008F25FA">
              <w:t>Theory of Change</w:t>
            </w:r>
          </w:p>
        </w:tc>
        <w:tc>
          <w:tcPr>
            <w:tcW w:w="949" w:type="dxa"/>
            <w:tcBorders>
              <w:right w:val="single" w:sz="12" w:space="0" w:color="auto"/>
            </w:tcBorders>
            <w:shd w:val="clear" w:color="auto" w:fill="auto"/>
          </w:tcPr>
          <w:p w14:paraId="20203166" w14:textId="77777777" w:rsidR="009A513F" w:rsidRDefault="00C14D27" w:rsidP="00326699">
            <w:r>
              <w:t>3</w:t>
            </w:r>
            <w:r w:rsidR="00C02F62">
              <w:t xml:space="preserve"> </w:t>
            </w:r>
          </w:p>
        </w:tc>
      </w:tr>
      <w:tr w:rsidR="009A513F" w14:paraId="71282C0B" w14:textId="77777777" w:rsidTr="005A07F5">
        <w:tc>
          <w:tcPr>
            <w:tcW w:w="6748" w:type="dxa"/>
            <w:tcBorders>
              <w:top w:val="single" w:sz="4" w:space="0" w:color="auto"/>
              <w:left w:val="single" w:sz="12" w:space="0" w:color="auto"/>
              <w:bottom w:val="single" w:sz="4" w:space="0" w:color="auto"/>
            </w:tcBorders>
            <w:shd w:val="clear" w:color="auto" w:fill="auto"/>
          </w:tcPr>
          <w:p w14:paraId="49F58B6D" w14:textId="77777777" w:rsidR="009A513F" w:rsidRDefault="00DE2DA8" w:rsidP="00326699">
            <w:r>
              <w:t>Aansluiting Nationaal beleid / Armoedestrategie</w:t>
            </w:r>
          </w:p>
        </w:tc>
        <w:tc>
          <w:tcPr>
            <w:tcW w:w="949" w:type="dxa"/>
            <w:tcBorders>
              <w:bottom w:val="single" w:sz="4" w:space="0" w:color="auto"/>
              <w:right w:val="single" w:sz="12" w:space="0" w:color="auto"/>
            </w:tcBorders>
            <w:shd w:val="clear" w:color="auto" w:fill="auto"/>
          </w:tcPr>
          <w:p w14:paraId="3D36FFF2" w14:textId="77777777" w:rsidR="009A513F" w:rsidRDefault="00C14D27" w:rsidP="00326699">
            <w:r>
              <w:t>3</w:t>
            </w:r>
            <w:r w:rsidR="00C02F62">
              <w:t xml:space="preserve"> </w:t>
            </w:r>
          </w:p>
        </w:tc>
      </w:tr>
      <w:tr w:rsidR="002A310E" w14:paraId="616A3B79" w14:textId="77777777" w:rsidTr="005A07F5">
        <w:tc>
          <w:tcPr>
            <w:tcW w:w="6748" w:type="dxa"/>
            <w:tcBorders>
              <w:top w:val="single" w:sz="4" w:space="0" w:color="auto"/>
              <w:left w:val="single" w:sz="12" w:space="0" w:color="auto"/>
              <w:bottom w:val="single" w:sz="4" w:space="0" w:color="auto"/>
            </w:tcBorders>
            <w:shd w:val="clear" w:color="auto" w:fill="auto"/>
          </w:tcPr>
          <w:p w14:paraId="0A0F4EC0" w14:textId="77777777" w:rsidR="002A310E" w:rsidRDefault="005F3FB6" w:rsidP="00326699">
            <w:r>
              <w:t>Verantwoording</w:t>
            </w:r>
            <w:r w:rsidR="00BA3472">
              <w:t xml:space="preserve"> </w:t>
            </w:r>
          </w:p>
        </w:tc>
        <w:tc>
          <w:tcPr>
            <w:tcW w:w="949" w:type="dxa"/>
            <w:tcBorders>
              <w:bottom w:val="single" w:sz="4" w:space="0" w:color="auto"/>
              <w:right w:val="single" w:sz="12" w:space="0" w:color="auto"/>
            </w:tcBorders>
            <w:shd w:val="clear" w:color="auto" w:fill="auto"/>
          </w:tcPr>
          <w:p w14:paraId="0078AEB0" w14:textId="77777777" w:rsidR="002A310E" w:rsidRDefault="000D429F" w:rsidP="00326699">
            <w:r>
              <w:t>4</w:t>
            </w:r>
            <w:r w:rsidR="00C02F62">
              <w:t xml:space="preserve"> </w:t>
            </w:r>
          </w:p>
        </w:tc>
      </w:tr>
      <w:tr w:rsidR="00BA3472" w14:paraId="7BE799C3" w14:textId="77777777" w:rsidTr="005A07F5">
        <w:tc>
          <w:tcPr>
            <w:tcW w:w="6748" w:type="dxa"/>
            <w:tcBorders>
              <w:top w:val="single" w:sz="4" w:space="0" w:color="auto"/>
              <w:left w:val="single" w:sz="12" w:space="0" w:color="auto"/>
              <w:bottom w:val="single" w:sz="12" w:space="0" w:color="auto"/>
            </w:tcBorders>
            <w:shd w:val="clear" w:color="auto" w:fill="auto"/>
          </w:tcPr>
          <w:p w14:paraId="1BAF412A" w14:textId="77777777" w:rsidR="00BA3472" w:rsidRDefault="00BA3472" w:rsidP="003E0DD1">
            <w:r>
              <w:t xml:space="preserve">Aanspreekbaarheid </w:t>
            </w:r>
            <w:r w:rsidR="003E0DD1">
              <w:t>voor overige belanghebbenden</w:t>
            </w:r>
          </w:p>
        </w:tc>
        <w:tc>
          <w:tcPr>
            <w:tcW w:w="949" w:type="dxa"/>
            <w:tcBorders>
              <w:bottom w:val="single" w:sz="12" w:space="0" w:color="auto"/>
              <w:right w:val="single" w:sz="12" w:space="0" w:color="auto"/>
            </w:tcBorders>
            <w:shd w:val="clear" w:color="auto" w:fill="auto"/>
          </w:tcPr>
          <w:p w14:paraId="4B222F01" w14:textId="77777777" w:rsidR="00BA3472" w:rsidRDefault="00C02F62" w:rsidP="00326699">
            <w:r>
              <w:t xml:space="preserve">3 </w:t>
            </w:r>
          </w:p>
        </w:tc>
      </w:tr>
      <w:tr w:rsidR="009A513F" w14:paraId="694BDFEE" w14:textId="77777777" w:rsidTr="005A07F5">
        <w:tc>
          <w:tcPr>
            <w:tcW w:w="6748" w:type="dxa"/>
            <w:tcBorders>
              <w:top w:val="single" w:sz="12" w:space="0" w:color="auto"/>
              <w:left w:val="single" w:sz="12" w:space="0" w:color="auto"/>
              <w:bottom w:val="single" w:sz="12" w:space="0" w:color="auto"/>
            </w:tcBorders>
            <w:shd w:val="clear" w:color="auto" w:fill="D0CECE"/>
          </w:tcPr>
          <w:p w14:paraId="49B1B729" w14:textId="77777777" w:rsidR="009A513F" w:rsidRPr="00EA0AA8" w:rsidRDefault="009A513F" w:rsidP="00326699">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19BE7F9B" w14:textId="77777777" w:rsidR="009A513F" w:rsidRPr="00EA0AA8" w:rsidRDefault="000D429F" w:rsidP="00326699">
            <w:pPr>
              <w:rPr>
                <w:b/>
              </w:rPr>
            </w:pPr>
            <w:r>
              <w:rPr>
                <w:b/>
              </w:rPr>
              <w:t>4</w:t>
            </w:r>
          </w:p>
        </w:tc>
      </w:tr>
    </w:tbl>
    <w:p w14:paraId="2D44806C" w14:textId="77777777" w:rsidR="009A513F" w:rsidRDefault="009A513F" w:rsidP="00326699"/>
    <w:p w14:paraId="191887A3" w14:textId="706B544E" w:rsidR="002A310E" w:rsidRDefault="00326699" w:rsidP="005A07F5">
      <w:pPr>
        <w:ind w:firstLine="227"/>
      </w:pPr>
      <w:r w:rsidRPr="00193994">
        <w:t>Verandering</w:t>
      </w:r>
      <w:r w:rsidR="009A513F">
        <w:t xml:space="preserve"> sinds 2015</w:t>
      </w:r>
      <w:r>
        <w:t>: neutraal</w:t>
      </w:r>
      <w:r w:rsidRPr="00193994">
        <w:t xml:space="preserve"> = </w:t>
      </w:r>
      <w:r w:rsidRPr="00193994">
        <w:sym w:font="Wingdings" w:char="F0E8"/>
      </w:r>
    </w:p>
    <w:p w14:paraId="608E2C98" w14:textId="77777777" w:rsidR="007F0923" w:rsidRDefault="007F0923" w:rsidP="005A07F5">
      <w:pPr>
        <w:ind w:firstLine="227"/>
      </w:pPr>
    </w:p>
    <w:p w14:paraId="0785DE57" w14:textId="022080F8" w:rsidR="002D6BF5" w:rsidRPr="009C7D08" w:rsidRDefault="00ED6C2B" w:rsidP="009C7D08">
      <w:pPr>
        <w:pStyle w:val="Heading2"/>
        <w:numPr>
          <w:ilvl w:val="1"/>
          <w:numId w:val="20"/>
        </w:numPr>
        <w:tabs>
          <w:tab w:val="left" w:pos="-1162"/>
          <w:tab w:val="left" w:pos="0"/>
        </w:tabs>
        <w:spacing w:line="240" w:lineRule="auto"/>
        <w:rPr>
          <w:lang w:val="en-US"/>
        </w:rPr>
      </w:pPr>
      <w:r>
        <w:rPr>
          <w:lang w:val="en-US"/>
        </w:rPr>
        <w:t xml:space="preserve">      </w:t>
      </w:r>
      <w:r w:rsidR="009C7D08" w:rsidRPr="009C7D08">
        <w:rPr>
          <w:lang w:val="en-US"/>
        </w:rPr>
        <w:t xml:space="preserve"> </w:t>
      </w:r>
      <w:r w:rsidR="006E3770">
        <w:rPr>
          <w:lang w:val="en-US"/>
        </w:rPr>
        <w:tab/>
      </w:r>
      <w:bookmarkStart w:id="32" w:name="_Toc490833561"/>
      <w:r w:rsidR="00032C0E" w:rsidRPr="009C7D08">
        <w:rPr>
          <w:lang w:val="en-US"/>
        </w:rPr>
        <w:t>Resultaatgerichtheid en transparantie</w:t>
      </w:r>
      <w:bookmarkEnd w:id="32"/>
    </w:p>
    <w:p w14:paraId="50D8F040" w14:textId="6731F048" w:rsidR="00C461DC" w:rsidRPr="00BE3104" w:rsidRDefault="00C461DC" w:rsidP="003A51E3">
      <w:r>
        <w:t xml:space="preserve">De ILO </w:t>
      </w:r>
      <w:r w:rsidR="00771F72">
        <w:t xml:space="preserve">hanteert een </w:t>
      </w:r>
      <w:r w:rsidR="00DA0A8A">
        <w:rPr>
          <w:i/>
        </w:rPr>
        <w:t>Results Based Management</w:t>
      </w:r>
      <w:r w:rsidR="00771F72">
        <w:t xml:space="preserve"> (RBM) aanpak</w:t>
      </w:r>
      <w:r>
        <w:t xml:space="preserve"> </w:t>
      </w:r>
      <w:r w:rsidR="00DA0A8A">
        <w:t xml:space="preserve">in zowel de activiteiten als de budgetcyclus. </w:t>
      </w:r>
      <w:r w:rsidR="00A22755">
        <w:t xml:space="preserve">De ILO stelt RBM centraal in de managementstrategie. </w:t>
      </w:r>
      <w:r w:rsidR="00660107">
        <w:t>Deze</w:t>
      </w:r>
      <w:r w:rsidR="00A22755">
        <w:t xml:space="preserve"> richt zich op een helder en logisch resultatenraamwerk en managers moeten resultaten </w:t>
      </w:r>
      <w:r w:rsidR="006930FD">
        <w:t>efficië</w:t>
      </w:r>
      <w:r w:rsidR="00A22755">
        <w:t>nt en effectief behalen.</w:t>
      </w:r>
      <w:r w:rsidR="00551317">
        <w:t xml:space="preserve"> </w:t>
      </w:r>
      <w:r w:rsidR="00551317">
        <w:rPr>
          <w:i/>
        </w:rPr>
        <w:t xml:space="preserve">Performance </w:t>
      </w:r>
      <w:r w:rsidR="00551317" w:rsidRPr="00551317">
        <w:t>data</w:t>
      </w:r>
      <w:r w:rsidR="00551317">
        <w:t xml:space="preserve"> wordt gemonitord en voedt het besluitvormingsproces. </w:t>
      </w:r>
      <w:r w:rsidR="002333F6" w:rsidRPr="00551317">
        <w:t>Op</w:t>
      </w:r>
      <w:r w:rsidR="002333F6">
        <w:t xml:space="preserve"> landenniveau moeten </w:t>
      </w:r>
      <w:r w:rsidR="002333F6">
        <w:rPr>
          <w:i/>
        </w:rPr>
        <w:t>Decent Work</w:t>
      </w:r>
      <w:r w:rsidR="00660107">
        <w:rPr>
          <w:i/>
        </w:rPr>
        <w:t>-</w:t>
      </w:r>
      <w:r w:rsidR="002333F6">
        <w:t>landenprogramma’s ook een RBM aanpak hanteren.</w:t>
      </w:r>
      <w:r w:rsidR="00BE3104">
        <w:t xml:space="preserve"> De ILO is ook begonnen met </w:t>
      </w:r>
      <w:r w:rsidR="00BE3104">
        <w:rPr>
          <w:i/>
        </w:rPr>
        <w:t xml:space="preserve">Results Based Budgeting </w:t>
      </w:r>
      <w:r w:rsidR="00BE3104">
        <w:t xml:space="preserve">(RBB) waarbij budgetten aan resultaatgebieden worden gekoppeld. Hiervoor heeft de ILO specifieke richtlijnen opgesteld en wordt dit uitgerold in een specifieke software applicatie, de </w:t>
      </w:r>
      <w:r w:rsidR="00BE3104">
        <w:rPr>
          <w:i/>
        </w:rPr>
        <w:t>Integrated Resource Information System</w:t>
      </w:r>
      <w:r w:rsidR="00BE3104">
        <w:t xml:space="preserve">. </w:t>
      </w:r>
      <w:r w:rsidR="008544FD">
        <w:t xml:space="preserve">De ILO heeft in 2016 in lijn met </w:t>
      </w:r>
      <w:r w:rsidR="008544FD">
        <w:rPr>
          <w:i/>
        </w:rPr>
        <w:t xml:space="preserve">IATI </w:t>
      </w:r>
      <w:r w:rsidR="008544FD">
        <w:t>(</w:t>
      </w:r>
      <w:r w:rsidR="008544FD">
        <w:rPr>
          <w:i/>
        </w:rPr>
        <w:t>International Aid Transparency Initiative</w:t>
      </w:r>
      <w:r w:rsidR="00481E7F">
        <w:t>)</w:t>
      </w:r>
      <w:r w:rsidR="008544FD">
        <w:t xml:space="preserve"> een website opgezet (de </w:t>
      </w:r>
      <w:r w:rsidR="008544FD">
        <w:rPr>
          <w:i/>
        </w:rPr>
        <w:t>Development Cooperation Dashboard</w:t>
      </w:r>
      <w:r w:rsidR="008544FD">
        <w:t xml:space="preserve">) waarbij op een heldere en overzichtelijke manier inzicht wordt gegeven in de allocatie van middelen aan beleidsprioriteiten en regio’s. </w:t>
      </w:r>
    </w:p>
    <w:p w14:paraId="733B3197" w14:textId="77777777" w:rsidR="00C461DC" w:rsidRDefault="00C461DC" w:rsidP="003A51E3"/>
    <w:p w14:paraId="6C1B57BC" w14:textId="3D1A86FD" w:rsidR="00551317" w:rsidRDefault="00F67DEF" w:rsidP="003A51E3">
      <w:r>
        <w:t>Er is ondanks duidelijke vooruitgang ook nog een discrepantie tussen beleid en RBM in de praktijk</w:t>
      </w:r>
      <w:r w:rsidR="002333F6">
        <w:t xml:space="preserve">. </w:t>
      </w:r>
      <w:r w:rsidR="00D57CD3">
        <w:t>D</w:t>
      </w:r>
      <w:r w:rsidR="00116C00">
        <w:t xml:space="preserve">e ILO </w:t>
      </w:r>
      <w:r w:rsidR="00D57CD3">
        <w:t xml:space="preserve">moet nog een stap verder gaan </w:t>
      </w:r>
      <w:r w:rsidR="00116C00">
        <w:t>om RBM volledig in te bedden</w:t>
      </w:r>
      <w:r w:rsidR="00D57CD3">
        <w:t xml:space="preserve"> in de organisatie</w:t>
      </w:r>
      <w:r w:rsidR="00116C00">
        <w:t xml:space="preserve">, met name op het monitoren op voortgang op gestelde doelstellingen en vaker te rapporteren binnen een alomvattend multi-level resultatenmanagement raamwerk. </w:t>
      </w:r>
      <w:r w:rsidR="00551317">
        <w:t>Het MOPAN</w:t>
      </w:r>
      <w:r w:rsidR="00660107">
        <w:t>-</w:t>
      </w:r>
      <w:r w:rsidR="00551317">
        <w:t xml:space="preserve">rapport komt met een aantal aanbevelingen, bijvoorbeeld het verbeteren van de </w:t>
      </w:r>
      <w:r w:rsidR="00551317">
        <w:rPr>
          <w:i/>
        </w:rPr>
        <w:t>Theory of Change</w:t>
      </w:r>
      <w:r w:rsidR="00551317">
        <w:t xml:space="preserve"> die ten grondslag ligt aan het resultatenraamwerk, en het verbeteren van de rapportage- en monitoringsmechanismen. </w:t>
      </w:r>
      <w:r w:rsidR="00D57CD3">
        <w:t xml:space="preserve">De Office staat hierbij ook open voor meedenken van </w:t>
      </w:r>
      <w:r w:rsidR="00D57CD3" w:rsidRPr="00642A29">
        <w:rPr>
          <w:i/>
        </w:rPr>
        <w:t>constituents</w:t>
      </w:r>
      <w:r w:rsidR="00D57CD3">
        <w:t xml:space="preserve"> in de Beheersraad; z</w:t>
      </w:r>
      <w:r w:rsidR="00C64D1F">
        <w:t>o werd Nederland, met nog een aantal andere grote donoren, benaderd door de Office om</w:t>
      </w:r>
      <w:r w:rsidR="00D57CD3">
        <w:t xml:space="preserve"> </w:t>
      </w:r>
      <w:r w:rsidR="285452C2">
        <w:t xml:space="preserve">mee te denken over mogelijke </w:t>
      </w:r>
      <w:r w:rsidR="00D57CD3">
        <w:t xml:space="preserve">verbeterpunten </w:t>
      </w:r>
      <w:r w:rsidR="285452C2">
        <w:t>op het gebied</w:t>
      </w:r>
      <w:r w:rsidR="00D57CD3">
        <w:t xml:space="preserve"> van indicatoren en doelstellingen in de resultaatgebieden </w:t>
      </w:r>
      <w:r w:rsidR="00583E52">
        <w:t>i</w:t>
      </w:r>
      <w:r w:rsidR="00551317">
        <w:t>n het P&amp;B 2018-2019</w:t>
      </w:r>
      <w:r w:rsidR="006E6D7C">
        <w:t>.</w:t>
      </w:r>
      <w:r>
        <w:rPr>
          <w:rStyle w:val="FootnoteReference"/>
        </w:rPr>
        <w:footnoteReference w:id="6"/>
      </w:r>
      <w:r w:rsidR="00583E52">
        <w:t xml:space="preserve"> </w:t>
      </w:r>
    </w:p>
    <w:p w14:paraId="1D02389B" w14:textId="77777777" w:rsidR="00551317" w:rsidRDefault="00551317" w:rsidP="003A51E3"/>
    <w:p w14:paraId="61EA39D2" w14:textId="0D3FB89E" w:rsidR="00551317" w:rsidRDefault="00551317" w:rsidP="003A51E3">
      <w:r>
        <w:t xml:space="preserve">Daarnaast geeft de ILO gehoor aan het verzoek van </w:t>
      </w:r>
      <w:r w:rsidRPr="006A10B3">
        <w:rPr>
          <w:i/>
        </w:rPr>
        <w:t>constituents</w:t>
      </w:r>
      <w:r>
        <w:t xml:space="preserve"> in de Beheersraad om </w:t>
      </w:r>
      <w:r w:rsidRPr="00642A29">
        <w:rPr>
          <w:i/>
        </w:rPr>
        <w:t>impact assessments</w:t>
      </w:r>
      <w:r>
        <w:t xml:space="preserve"> uit te laten voeren. </w:t>
      </w:r>
      <w:r w:rsidR="00C461DC">
        <w:t>Het MOPAN</w:t>
      </w:r>
      <w:r w:rsidR="00660107">
        <w:t>-</w:t>
      </w:r>
      <w:r w:rsidR="00C461DC">
        <w:t>rapport erkent dat het nog te vroeg is om bewijs te zien van verbetering naar aanleiding van de recente stappen die de Office heeft gezet.</w:t>
      </w:r>
    </w:p>
    <w:p w14:paraId="4D8F475E" w14:textId="77777777" w:rsidR="00E20A86" w:rsidRDefault="00E20A86" w:rsidP="00A13499"/>
    <w:p w14:paraId="06C498DB" w14:textId="77777777" w:rsidR="005A07F5" w:rsidRDefault="005A07F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E20A86" w:rsidRPr="00EA0AA8" w14:paraId="19B77878" w14:textId="77777777" w:rsidTr="005A07F5">
        <w:tc>
          <w:tcPr>
            <w:tcW w:w="6747" w:type="dxa"/>
            <w:tcBorders>
              <w:top w:val="single" w:sz="12" w:space="0" w:color="auto"/>
              <w:left w:val="single" w:sz="12" w:space="0" w:color="auto"/>
              <w:bottom w:val="single" w:sz="12" w:space="0" w:color="auto"/>
            </w:tcBorders>
            <w:shd w:val="clear" w:color="auto" w:fill="D0CECE"/>
          </w:tcPr>
          <w:p w14:paraId="7E050C68" w14:textId="32D3E9FF" w:rsidR="00E20A86" w:rsidRPr="00EA0AA8" w:rsidRDefault="00E20A86" w:rsidP="00382AE3">
            <w:pPr>
              <w:rPr>
                <w:b/>
              </w:rPr>
            </w:pPr>
            <w:r w:rsidRPr="00EA0AA8">
              <w:rPr>
                <w:b/>
              </w:rPr>
              <w:lastRenderedPageBreak/>
              <w:t>Onderdeel</w:t>
            </w:r>
          </w:p>
        </w:tc>
        <w:tc>
          <w:tcPr>
            <w:tcW w:w="950" w:type="dxa"/>
            <w:tcBorders>
              <w:top w:val="single" w:sz="12" w:space="0" w:color="auto"/>
              <w:bottom w:val="single" w:sz="12" w:space="0" w:color="auto"/>
              <w:right w:val="single" w:sz="12" w:space="0" w:color="auto"/>
            </w:tcBorders>
            <w:shd w:val="clear" w:color="auto" w:fill="D0CECE"/>
          </w:tcPr>
          <w:p w14:paraId="02D467C1" w14:textId="77777777" w:rsidR="00E20A86" w:rsidRPr="00EA0AA8" w:rsidRDefault="00E20A86" w:rsidP="00382AE3">
            <w:pPr>
              <w:rPr>
                <w:b/>
              </w:rPr>
            </w:pPr>
            <w:r w:rsidRPr="00EA0AA8">
              <w:rPr>
                <w:b/>
              </w:rPr>
              <w:t>Score</w:t>
            </w:r>
          </w:p>
        </w:tc>
      </w:tr>
      <w:tr w:rsidR="00E20A86" w14:paraId="06D9137D" w14:textId="77777777" w:rsidTr="005A07F5">
        <w:tc>
          <w:tcPr>
            <w:tcW w:w="6747" w:type="dxa"/>
            <w:tcBorders>
              <w:top w:val="single" w:sz="12" w:space="0" w:color="auto"/>
              <w:left w:val="single" w:sz="12" w:space="0" w:color="auto"/>
            </w:tcBorders>
            <w:shd w:val="clear" w:color="auto" w:fill="auto"/>
          </w:tcPr>
          <w:p w14:paraId="2E02832F" w14:textId="77777777" w:rsidR="00E20A86" w:rsidRDefault="00E20A86" w:rsidP="00382AE3">
            <w:r>
              <w:t>RBM en RBB</w:t>
            </w:r>
          </w:p>
        </w:tc>
        <w:tc>
          <w:tcPr>
            <w:tcW w:w="950" w:type="dxa"/>
            <w:tcBorders>
              <w:top w:val="single" w:sz="12" w:space="0" w:color="auto"/>
              <w:right w:val="single" w:sz="12" w:space="0" w:color="auto"/>
            </w:tcBorders>
            <w:shd w:val="clear" w:color="auto" w:fill="auto"/>
          </w:tcPr>
          <w:p w14:paraId="34EFE859" w14:textId="77777777" w:rsidR="00E20A86" w:rsidRDefault="00C02F62" w:rsidP="00382AE3">
            <w:r>
              <w:t xml:space="preserve">3 </w:t>
            </w:r>
          </w:p>
        </w:tc>
      </w:tr>
      <w:tr w:rsidR="00E20A86" w14:paraId="44B278BF" w14:textId="77777777" w:rsidTr="005A07F5">
        <w:tc>
          <w:tcPr>
            <w:tcW w:w="6747" w:type="dxa"/>
            <w:tcBorders>
              <w:left w:val="single" w:sz="12" w:space="0" w:color="auto"/>
            </w:tcBorders>
            <w:shd w:val="clear" w:color="auto" w:fill="auto"/>
          </w:tcPr>
          <w:p w14:paraId="36C2A310" w14:textId="77777777" w:rsidR="00E20A86" w:rsidRDefault="00E20A86" w:rsidP="00382AE3">
            <w:r>
              <w:t>Inzichtelijk maken resultaten</w:t>
            </w:r>
          </w:p>
        </w:tc>
        <w:tc>
          <w:tcPr>
            <w:tcW w:w="950" w:type="dxa"/>
            <w:tcBorders>
              <w:right w:val="single" w:sz="12" w:space="0" w:color="auto"/>
            </w:tcBorders>
            <w:shd w:val="clear" w:color="auto" w:fill="auto"/>
          </w:tcPr>
          <w:p w14:paraId="36C74897" w14:textId="77777777" w:rsidR="00E20A86" w:rsidRDefault="00BE134B" w:rsidP="00382AE3">
            <w:r>
              <w:t xml:space="preserve">3 </w:t>
            </w:r>
          </w:p>
        </w:tc>
      </w:tr>
      <w:tr w:rsidR="00E20A86" w14:paraId="4FBEBC42" w14:textId="77777777" w:rsidTr="005A07F5">
        <w:tc>
          <w:tcPr>
            <w:tcW w:w="6747" w:type="dxa"/>
            <w:tcBorders>
              <w:left w:val="single" w:sz="12" w:space="0" w:color="auto"/>
            </w:tcBorders>
            <w:shd w:val="clear" w:color="auto" w:fill="auto"/>
          </w:tcPr>
          <w:p w14:paraId="7B08905B" w14:textId="77777777" w:rsidR="00E20A86" w:rsidRDefault="00E20A86" w:rsidP="00382AE3">
            <w:r>
              <w:t>Inzichtelijk maken allocatie van middelen (o.a. IATI)</w:t>
            </w:r>
          </w:p>
        </w:tc>
        <w:tc>
          <w:tcPr>
            <w:tcW w:w="950" w:type="dxa"/>
            <w:tcBorders>
              <w:right w:val="single" w:sz="12" w:space="0" w:color="auto"/>
            </w:tcBorders>
            <w:shd w:val="clear" w:color="auto" w:fill="auto"/>
          </w:tcPr>
          <w:p w14:paraId="2B412B54" w14:textId="77777777" w:rsidR="00E20A86" w:rsidRDefault="00BE134B" w:rsidP="00382AE3">
            <w:r>
              <w:t xml:space="preserve">3 </w:t>
            </w:r>
          </w:p>
        </w:tc>
      </w:tr>
      <w:tr w:rsidR="00E20A86" w14:paraId="559E6B2B" w14:textId="77777777" w:rsidTr="005A07F5">
        <w:tc>
          <w:tcPr>
            <w:tcW w:w="6747" w:type="dxa"/>
            <w:tcBorders>
              <w:left w:val="single" w:sz="12" w:space="0" w:color="auto"/>
              <w:bottom w:val="single" w:sz="12" w:space="0" w:color="auto"/>
            </w:tcBorders>
            <w:shd w:val="clear" w:color="auto" w:fill="auto"/>
          </w:tcPr>
          <w:p w14:paraId="2142BBB0" w14:textId="77777777" w:rsidR="00E20A86" w:rsidRDefault="00E20A86" w:rsidP="00382AE3">
            <w:r>
              <w:t>Communicatie over resultaten</w:t>
            </w:r>
          </w:p>
        </w:tc>
        <w:tc>
          <w:tcPr>
            <w:tcW w:w="950" w:type="dxa"/>
            <w:tcBorders>
              <w:bottom w:val="single" w:sz="12" w:space="0" w:color="auto"/>
              <w:right w:val="single" w:sz="12" w:space="0" w:color="auto"/>
            </w:tcBorders>
            <w:shd w:val="clear" w:color="auto" w:fill="auto"/>
          </w:tcPr>
          <w:p w14:paraId="5F44FE97" w14:textId="77777777" w:rsidR="00E20A86" w:rsidRDefault="00DE4B93" w:rsidP="00382AE3">
            <w:r>
              <w:t xml:space="preserve">3 </w:t>
            </w:r>
          </w:p>
        </w:tc>
      </w:tr>
      <w:tr w:rsidR="00E20A86" w:rsidRPr="00EA0AA8" w14:paraId="56FBB0BE" w14:textId="77777777" w:rsidTr="005A07F5">
        <w:tc>
          <w:tcPr>
            <w:tcW w:w="6747" w:type="dxa"/>
            <w:tcBorders>
              <w:top w:val="single" w:sz="12" w:space="0" w:color="auto"/>
              <w:left w:val="single" w:sz="12" w:space="0" w:color="auto"/>
              <w:bottom w:val="single" w:sz="12" w:space="0" w:color="auto"/>
            </w:tcBorders>
            <w:shd w:val="clear" w:color="auto" w:fill="D0CECE"/>
          </w:tcPr>
          <w:p w14:paraId="1A75AAFE" w14:textId="77777777" w:rsidR="00E20A86" w:rsidRPr="00EA0AA8" w:rsidRDefault="00E20A86" w:rsidP="00382AE3">
            <w:pPr>
              <w:rPr>
                <w:b/>
              </w:rPr>
            </w:pPr>
            <w:r w:rsidRPr="00F313B0">
              <w:rPr>
                <w:b/>
              </w:rPr>
              <w:t>TOTAAL</w:t>
            </w:r>
          </w:p>
        </w:tc>
        <w:tc>
          <w:tcPr>
            <w:tcW w:w="950" w:type="dxa"/>
            <w:tcBorders>
              <w:top w:val="single" w:sz="12" w:space="0" w:color="auto"/>
              <w:bottom w:val="single" w:sz="12" w:space="0" w:color="auto"/>
              <w:right w:val="single" w:sz="12" w:space="0" w:color="auto"/>
            </w:tcBorders>
            <w:shd w:val="clear" w:color="auto" w:fill="D0CECE"/>
          </w:tcPr>
          <w:p w14:paraId="47EACB07" w14:textId="77777777" w:rsidR="00E20A86" w:rsidRPr="00EA0AA8" w:rsidRDefault="00753D7D" w:rsidP="00382AE3">
            <w:pPr>
              <w:rPr>
                <w:b/>
              </w:rPr>
            </w:pPr>
            <w:r>
              <w:rPr>
                <w:b/>
              </w:rPr>
              <w:t>3</w:t>
            </w:r>
          </w:p>
        </w:tc>
      </w:tr>
    </w:tbl>
    <w:p w14:paraId="16B6F1B2" w14:textId="77777777" w:rsidR="00E62286" w:rsidRDefault="00E62286" w:rsidP="00E62286">
      <w:pPr>
        <w:rPr>
          <w:b/>
        </w:rPr>
      </w:pPr>
    </w:p>
    <w:p w14:paraId="4A736F25" w14:textId="1495B498" w:rsidR="005A07F5" w:rsidRDefault="00687998" w:rsidP="005A07F5">
      <w:pPr>
        <w:ind w:firstLine="227"/>
      </w:pPr>
      <w:r w:rsidRPr="00193994">
        <w:t>Ver</w:t>
      </w:r>
      <w:r>
        <w:t>andering sinds 2015</w:t>
      </w:r>
      <w:r w:rsidR="003412ED">
        <w:t>: neutraal</w:t>
      </w:r>
      <w:r w:rsidR="003412ED" w:rsidRPr="00193994">
        <w:t xml:space="preserve"> = </w:t>
      </w:r>
      <w:r w:rsidR="003412ED" w:rsidRPr="00193994">
        <w:sym w:font="Wingdings" w:char="F0E8"/>
      </w:r>
    </w:p>
    <w:p w14:paraId="4E3DFA1E" w14:textId="77777777" w:rsidR="007F0923" w:rsidRPr="005A07F5" w:rsidRDefault="007F0923" w:rsidP="005A07F5">
      <w:pPr>
        <w:ind w:firstLine="227"/>
        <w:rPr>
          <w:b/>
        </w:rPr>
      </w:pPr>
    </w:p>
    <w:p w14:paraId="3F16CA43" w14:textId="3A0B6844" w:rsidR="00E1713F" w:rsidRDefault="00ED6C2B" w:rsidP="009C7D08">
      <w:pPr>
        <w:pStyle w:val="Heading2"/>
        <w:numPr>
          <w:ilvl w:val="1"/>
          <w:numId w:val="20"/>
        </w:numPr>
        <w:tabs>
          <w:tab w:val="left" w:pos="-1162"/>
          <w:tab w:val="left" w:pos="0"/>
        </w:tabs>
        <w:spacing w:line="240" w:lineRule="auto"/>
      </w:pPr>
      <w:r>
        <w:t xml:space="preserve">      </w:t>
      </w:r>
      <w:r w:rsidR="009C7D08">
        <w:t xml:space="preserve"> </w:t>
      </w:r>
      <w:r w:rsidR="006E3770">
        <w:tab/>
      </w:r>
      <w:bookmarkStart w:id="33" w:name="_Toc490833562"/>
      <w:r w:rsidR="00F366F4" w:rsidRPr="00A13499">
        <w:t>Partnerschappen</w:t>
      </w:r>
      <w:r w:rsidR="00422948">
        <w:t xml:space="preserve"> en samenwerking</w:t>
      </w:r>
      <w:bookmarkEnd w:id="33"/>
    </w:p>
    <w:p w14:paraId="75773909" w14:textId="267F81EF" w:rsidR="00056547" w:rsidRDefault="00056547" w:rsidP="00056547">
      <w:r>
        <w:t xml:space="preserve">De ILO beschouwt multi-stakeholder partnerschappen een belangrijk element van het bevorderen van </w:t>
      </w:r>
      <w:r>
        <w:rPr>
          <w:i/>
        </w:rPr>
        <w:t>Decent Work</w:t>
      </w:r>
      <w:r>
        <w:t xml:space="preserve"> en haar bijdrage aan de implementatie van de SDG</w:t>
      </w:r>
      <w:r w:rsidR="00B21ABE">
        <w:t>’</w:t>
      </w:r>
      <w:r>
        <w:t>s. De ILO heeft recentelijk de richtlijnen voor partnerschappen herzien en verbeterd. Het MOPAN</w:t>
      </w:r>
      <w:r w:rsidR="006B5E2F">
        <w:t>-</w:t>
      </w:r>
      <w:r>
        <w:t xml:space="preserve">rapport stelt dat deze richtlijnen waarschijnlijk tot meer coherentie en effectiviteit zullen leiden van multi-stakeholder partnerschappen binnen de </w:t>
      </w:r>
      <w:r w:rsidRPr="00642A29">
        <w:rPr>
          <w:i/>
        </w:rPr>
        <w:t>flagship</w:t>
      </w:r>
      <w:r w:rsidR="006B5E2F">
        <w:t>-</w:t>
      </w:r>
      <w:r>
        <w:t xml:space="preserve">programma’s van de ILO. </w:t>
      </w:r>
      <w:r w:rsidR="001E3737">
        <w:t xml:space="preserve">Deze richtlijnen zijn echter nog niet getest, en de meerwaarde van multi-stakeholder partnerschappen en de methoden </w:t>
      </w:r>
      <w:r w:rsidR="00BE134B">
        <w:t xml:space="preserve">zijn nog niet voldoende ingebed in het systeem. </w:t>
      </w:r>
    </w:p>
    <w:p w14:paraId="1DEE833A" w14:textId="77777777" w:rsidR="00BE134B" w:rsidRDefault="00BE134B" w:rsidP="00056547"/>
    <w:p w14:paraId="00D70237" w14:textId="2AFDC053" w:rsidR="00BE134B" w:rsidRPr="00C7685C" w:rsidRDefault="00BE134B" w:rsidP="00BE134B">
      <w:r>
        <w:t xml:space="preserve">De samenwerking met andere organisaties, met name met de private sector, wordt soms bemoeilijkt door de tripartiete structuur van de ILO (wat in andere opzichten juist de meerwaarde van de ILO is). </w:t>
      </w:r>
      <w:r w:rsidRPr="00B53DBE">
        <w:rPr>
          <w:rFonts w:eastAsia="Verdana" w:cs="Calibri"/>
        </w:rPr>
        <w:t xml:space="preserve">Rechtstreekse contacten van de ILO met (multinationale) bedrijven liggen bijvoorbeeld gevoelig bij de </w:t>
      </w:r>
      <w:r w:rsidRPr="00C77345">
        <w:rPr>
          <w:rFonts w:eastAsia="Verdana" w:cs="Calibri"/>
          <w:i/>
        </w:rPr>
        <w:t>International Organisation of Employers</w:t>
      </w:r>
      <w:r w:rsidRPr="00B53DBE">
        <w:rPr>
          <w:rFonts w:eastAsia="Verdana" w:cs="Calibri"/>
        </w:rPr>
        <w:t xml:space="preserve"> (IOE).</w:t>
      </w:r>
      <w:r w:rsidR="006E6D7C">
        <w:rPr>
          <w:rFonts w:eastAsia="Verdana" w:cs="Calibri"/>
        </w:rPr>
        <w:t xml:space="preserve"> </w:t>
      </w:r>
      <w:r>
        <w:rPr>
          <w:rFonts w:cs="Calibri"/>
        </w:rPr>
        <w:t xml:space="preserve">De ILO verwacht dat diens bijzondere structuur gerespecteerd wordt en dat er met de stem van werkgevers- en werknemersorganisaties rekening wordt gehouden. Directeur-generaal </w:t>
      </w:r>
      <w:r w:rsidRPr="00B31DCB">
        <w:rPr>
          <w:rFonts w:cs="Calibri"/>
        </w:rPr>
        <w:t>Ryder</w:t>
      </w:r>
      <w:r>
        <w:rPr>
          <w:rFonts w:cs="Calibri"/>
        </w:rPr>
        <w:t xml:space="preserve"> </w:t>
      </w:r>
      <w:r w:rsidRPr="00B31DCB">
        <w:rPr>
          <w:rFonts w:cs="Calibri"/>
        </w:rPr>
        <w:t>streeft</w:t>
      </w:r>
      <w:r>
        <w:rPr>
          <w:rFonts w:cs="Calibri"/>
        </w:rPr>
        <w:t xml:space="preserve"> </w:t>
      </w:r>
      <w:r w:rsidRPr="00B31DCB">
        <w:rPr>
          <w:rFonts w:cs="Calibri"/>
        </w:rPr>
        <w:t>er</w:t>
      </w:r>
      <w:r>
        <w:rPr>
          <w:rFonts w:cs="Calibri"/>
        </w:rPr>
        <w:t xml:space="preserve"> </w:t>
      </w:r>
      <w:r w:rsidRPr="00B31DCB">
        <w:rPr>
          <w:rFonts w:cs="Calibri"/>
        </w:rPr>
        <w:t>naar</w:t>
      </w:r>
      <w:r>
        <w:rPr>
          <w:rFonts w:cs="Calibri"/>
        </w:rPr>
        <w:t xml:space="preserve"> </w:t>
      </w:r>
      <w:r w:rsidRPr="00B31DCB">
        <w:rPr>
          <w:rFonts w:cs="Calibri"/>
        </w:rPr>
        <w:t>de</w:t>
      </w:r>
      <w:r>
        <w:rPr>
          <w:rFonts w:cs="Calibri"/>
        </w:rPr>
        <w:t xml:space="preserve"> </w:t>
      </w:r>
      <w:r w:rsidRPr="00B31DCB">
        <w:rPr>
          <w:rFonts w:cs="Calibri"/>
        </w:rPr>
        <w:t>banden</w:t>
      </w:r>
      <w:r>
        <w:rPr>
          <w:rFonts w:cs="Calibri"/>
        </w:rPr>
        <w:t xml:space="preserve"> </w:t>
      </w:r>
      <w:r>
        <w:rPr>
          <w:rFonts w:eastAsia="Verdana" w:cs="Calibri"/>
        </w:rPr>
        <w:t xml:space="preserve">tussen de ILO en </w:t>
      </w:r>
      <w:r w:rsidRPr="00B31DCB">
        <w:rPr>
          <w:rFonts w:cs="Calibri"/>
        </w:rPr>
        <w:t>bedrijven</w:t>
      </w:r>
      <w:r>
        <w:rPr>
          <w:rFonts w:cs="Calibri"/>
        </w:rPr>
        <w:t xml:space="preserve"> </w:t>
      </w:r>
      <w:r w:rsidRPr="00B31DCB">
        <w:rPr>
          <w:rFonts w:cs="Calibri"/>
        </w:rPr>
        <w:t>te</w:t>
      </w:r>
      <w:r>
        <w:rPr>
          <w:rFonts w:cs="Calibri"/>
        </w:rPr>
        <w:t xml:space="preserve"> </w:t>
      </w:r>
      <w:r w:rsidRPr="00B31DCB">
        <w:rPr>
          <w:rFonts w:cs="Calibri"/>
        </w:rPr>
        <w:t>versterken.</w:t>
      </w:r>
      <w:r>
        <w:rPr>
          <w:rFonts w:cs="Calibri"/>
        </w:rPr>
        <w:t xml:space="preserve"> </w:t>
      </w:r>
      <w:r w:rsidRPr="00C7685C">
        <w:rPr>
          <w:rFonts w:eastAsia="Calibri,Verdana" w:cs="Calibri,Verdana"/>
        </w:rPr>
        <w:t>Nederland steunt dit streven van Ryder actief.</w:t>
      </w:r>
      <w:r w:rsidR="285452C2" w:rsidRPr="00C7685C">
        <w:rPr>
          <w:rFonts w:eastAsia="Calibri,Verdana" w:cs="Calibri,Verdana"/>
        </w:rPr>
        <w:t xml:space="preserve"> Zo heeft het Ministerie van SZW in de jaren 2013 en 2014 een onderzoek laten uitvoeren om de behoefte aan samenwerking tussen Nederlandse bedrijven en de ILO in kaart te brengen. Dit onderzoek heeft, na enkele discussies in de Beheersraad over de samenwerking met de private sector bijgedragen aan de totstandkoming van een nieuwe interne procedure voor de samenw</w:t>
      </w:r>
      <w:r w:rsidR="00C7685C">
        <w:rPr>
          <w:rFonts w:eastAsia="Calibri,Verdana" w:cs="Calibri,Verdana"/>
        </w:rPr>
        <w:t>erking met specifieke bedrijven</w:t>
      </w:r>
      <w:r w:rsidR="285452C2" w:rsidRPr="00C7685C">
        <w:rPr>
          <w:rFonts w:eastAsia="Calibri,Verdana" w:cs="Calibri,Verdana"/>
        </w:rPr>
        <w:t>.</w:t>
      </w:r>
      <w:r w:rsidR="00ED6C2B">
        <w:rPr>
          <w:rFonts w:eastAsia="Calibri,Verdana" w:cs="Calibri,Verdana"/>
        </w:rPr>
        <w:t xml:space="preserve"> </w:t>
      </w:r>
      <w:r w:rsidRPr="00C7685C">
        <w:rPr>
          <w:rFonts w:eastAsia="Verdana" w:cs="Calibri"/>
        </w:rPr>
        <w:t>D</w:t>
      </w:r>
      <w:r w:rsidRPr="00C7685C">
        <w:t>e ILO loopt naar eigen zeggen achter t.o.v. andere VN-organisaties m.b.t. het aantrekken van financiering door en samenwerking met</w:t>
      </w:r>
      <w:r w:rsidRPr="00C7685C">
        <w:rPr>
          <w:rStyle w:val="Strong"/>
        </w:rPr>
        <w:t xml:space="preserve"> </w:t>
      </w:r>
      <w:r w:rsidRPr="00C7685C">
        <w:rPr>
          <w:rStyle w:val="Strong"/>
          <w:b w:val="0"/>
        </w:rPr>
        <w:t>de private sector</w:t>
      </w:r>
      <w:r w:rsidRPr="00C7685C">
        <w:t xml:space="preserve">. </w:t>
      </w:r>
      <w:r w:rsidR="00963CE9">
        <w:t xml:space="preserve">De Office rapporteert in 2016 wel aan de Beheersraad dat er grote interesse is vanuit de private sector voor samenwerking, maar impliceert tegelijkertijd dat dit nog niet tot meer financiering heeft geleid. </w:t>
      </w:r>
    </w:p>
    <w:p w14:paraId="09F02E59" w14:textId="77777777" w:rsidR="001F0D23" w:rsidRPr="00C7685C" w:rsidRDefault="001F0D23" w:rsidP="00056547"/>
    <w:p w14:paraId="2A844B1E" w14:textId="5C6676E2" w:rsidR="00056547" w:rsidRPr="00010C45" w:rsidRDefault="001F0D23" w:rsidP="00056547">
      <w:r w:rsidRPr="00010C45">
        <w:t xml:space="preserve">Op programmatisch niveau werkt de ILO samen met veel andere VN- en internationale organisaties. </w:t>
      </w:r>
      <w:r w:rsidR="00056547" w:rsidRPr="00010C45">
        <w:t>De ILO voert regelmatig strategisch overleg met onder meer de WTO en de Wereldbank</w:t>
      </w:r>
      <w:r w:rsidR="00056547" w:rsidRPr="00010C45">
        <w:rPr>
          <w:i/>
        </w:rPr>
        <w:t>.</w:t>
      </w:r>
      <w:r w:rsidR="00056547" w:rsidRPr="00010C45">
        <w:t xml:space="preserve"> Daarnaast werkt de ILO samen met IFC (o.a. in </w:t>
      </w:r>
      <w:r w:rsidR="00056547" w:rsidRPr="00010C45">
        <w:rPr>
          <w:i/>
        </w:rPr>
        <w:t>Better Work</w:t>
      </w:r>
      <w:r w:rsidR="00056547" w:rsidRPr="00010C45">
        <w:t xml:space="preserve">), </w:t>
      </w:r>
      <w:r w:rsidR="00C94E20">
        <w:rPr>
          <w:i/>
        </w:rPr>
        <w:t xml:space="preserve">United Nations Development Programme </w:t>
      </w:r>
      <w:r w:rsidR="00C94E20">
        <w:t>(</w:t>
      </w:r>
      <w:r w:rsidR="00056547" w:rsidRPr="00010C45">
        <w:t>UNDP</w:t>
      </w:r>
      <w:r w:rsidR="00C94E20">
        <w:t>)</w:t>
      </w:r>
      <w:r w:rsidR="00056547" w:rsidRPr="00010C45">
        <w:t xml:space="preserve"> en</w:t>
      </w:r>
      <w:r w:rsidR="00C94E20">
        <w:t xml:space="preserve"> </w:t>
      </w:r>
      <w:r w:rsidR="00C94E20">
        <w:rPr>
          <w:i/>
        </w:rPr>
        <w:t>United Nations Environment Programme</w:t>
      </w:r>
      <w:r w:rsidR="00056547" w:rsidRPr="00010C45">
        <w:t xml:space="preserve"> </w:t>
      </w:r>
      <w:r w:rsidR="00C94E20">
        <w:t>(</w:t>
      </w:r>
      <w:r w:rsidR="00056547" w:rsidRPr="00010C45">
        <w:t>UNEP</w:t>
      </w:r>
      <w:r w:rsidR="00C94E20">
        <w:t>)</w:t>
      </w:r>
      <w:r w:rsidR="00056547" w:rsidRPr="00010C45">
        <w:t xml:space="preserve"> (</w:t>
      </w:r>
      <w:r w:rsidR="00056547" w:rsidRPr="00010C45">
        <w:rPr>
          <w:i/>
        </w:rPr>
        <w:t>Green Jobs</w:t>
      </w:r>
      <w:r w:rsidR="00056547" w:rsidRPr="00010C45">
        <w:t xml:space="preserve">). Met de </w:t>
      </w:r>
      <w:r w:rsidR="00056547" w:rsidRPr="00010C45">
        <w:rPr>
          <w:i/>
        </w:rPr>
        <w:t>International Organisation for Migration</w:t>
      </w:r>
      <w:r w:rsidR="00056547" w:rsidRPr="00010C45">
        <w:t xml:space="preserve"> (IOM) en </w:t>
      </w:r>
      <w:r w:rsidR="00056547" w:rsidRPr="00010C45">
        <w:rPr>
          <w:i/>
        </w:rPr>
        <w:t>International Organisation of Employers</w:t>
      </w:r>
      <w:r w:rsidR="00056547" w:rsidRPr="00010C45">
        <w:t xml:space="preserve"> (IOE) wordt samengewerkt </w:t>
      </w:r>
      <w:r w:rsidR="00056547" w:rsidRPr="00010C45">
        <w:rPr>
          <w:rFonts w:cs="Calibri"/>
        </w:rPr>
        <w:t xml:space="preserve">op arbeidsmigratie met o.a. het </w:t>
      </w:r>
      <w:r w:rsidR="00056547" w:rsidRPr="00010C45">
        <w:rPr>
          <w:rFonts w:cs="Calibri"/>
          <w:i/>
        </w:rPr>
        <w:t xml:space="preserve">International Recruitment Integrity System (IRIS), </w:t>
      </w:r>
      <w:r w:rsidR="00056547" w:rsidRPr="00010C45">
        <w:rPr>
          <w:rFonts w:cs="Calibri"/>
        </w:rPr>
        <w:t xml:space="preserve">waarbij certificering van rekruteringsbedrijven moet helpen malafide bureaus te onderscheiden van bedrijven die zich aan basale mensen- en arbeidsrechten houden. Het </w:t>
      </w:r>
      <w:r w:rsidR="00056547" w:rsidRPr="00010C45">
        <w:rPr>
          <w:rFonts w:cs="Calibri"/>
          <w:i/>
        </w:rPr>
        <w:t>International Programme on the Elimination of Child Labour</w:t>
      </w:r>
      <w:r w:rsidR="00056547" w:rsidRPr="00010C45">
        <w:rPr>
          <w:rFonts w:cs="Calibri"/>
        </w:rPr>
        <w:t xml:space="preserve"> (IPEC) van de ILO coördineert (i.s.m. </w:t>
      </w:r>
      <w:r w:rsidR="00056547" w:rsidRPr="00642A29">
        <w:rPr>
          <w:rFonts w:cs="Calibri"/>
          <w:i/>
        </w:rPr>
        <w:t>UN Global Compact</w:t>
      </w:r>
      <w:r w:rsidR="00056547" w:rsidRPr="00010C45">
        <w:rPr>
          <w:rFonts w:cs="Calibri"/>
        </w:rPr>
        <w:t xml:space="preserve">) het </w:t>
      </w:r>
      <w:r w:rsidR="00056547" w:rsidRPr="00642A29">
        <w:rPr>
          <w:rFonts w:cs="Calibri"/>
          <w:i/>
        </w:rPr>
        <w:t>Child Labour Platform</w:t>
      </w:r>
      <w:r w:rsidR="00056547" w:rsidRPr="00010C45">
        <w:rPr>
          <w:rFonts w:cs="Calibri"/>
        </w:rPr>
        <w:t xml:space="preserve"> (CLP), een platform voor bedrijven en andere relevante organisaties om </w:t>
      </w:r>
      <w:r w:rsidR="00056547" w:rsidRPr="00010C45">
        <w:rPr>
          <w:rFonts w:cs="Calibri"/>
          <w:i/>
        </w:rPr>
        <w:t>best practices</w:t>
      </w:r>
      <w:r w:rsidR="00056547" w:rsidRPr="00010C45">
        <w:rPr>
          <w:rFonts w:eastAsia="Calibri" w:cs="Calibri"/>
        </w:rPr>
        <w:t xml:space="preserve"> en andere ervaringen bij het bestrijden van kinderarbeid in hun ketens uit te wisselen. D</w:t>
      </w:r>
      <w:r w:rsidR="285452C2" w:rsidRPr="00010C45">
        <w:rPr>
          <w:rFonts w:eastAsia="Calibri" w:cs="Calibri"/>
        </w:rPr>
        <w:t xml:space="preserve">aarnaast voert de ILO het secretariaat voor </w:t>
      </w:r>
      <w:r w:rsidR="285452C2" w:rsidRPr="00642A29">
        <w:rPr>
          <w:rFonts w:eastAsia="Calibri" w:cs="Calibri"/>
          <w:i/>
        </w:rPr>
        <w:t>Alliance</w:t>
      </w:r>
      <w:r w:rsidR="285452C2" w:rsidRPr="00010C45">
        <w:rPr>
          <w:rFonts w:eastAsia="Calibri" w:cs="Calibri"/>
        </w:rPr>
        <w:t xml:space="preserve"> 8.7, een multi-stakeholderalliantie gericht op de uitbanning van kinderarbeid en </w:t>
      </w:r>
      <w:r w:rsidR="285452C2" w:rsidRPr="00010C45">
        <w:rPr>
          <w:rFonts w:eastAsia="Calibri" w:cs="Calibri"/>
        </w:rPr>
        <w:lastRenderedPageBreak/>
        <w:t xml:space="preserve">dwangarbeid. </w:t>
      </w:r>
      <w:r w:rsidR="00056547" w:rsidRPr="00010C45">
        <w:rPr>
          <w:rFonts w:eastAsia="Calibri" w:cs="Calibri"/>
        </w:rPr>
        <w:t xml:space="preserve">De ILO leidt daarnaast samen met </w:t>
      </w:r>
      <w:r w:rsidR="00C94E20" w:rsidRPr="00ED6C2B">
        <w:rPr>
          <w:rFonts w:eastAsia="Calibri" w:cs="Calibri"/>
          <w:i/>
        </w:rPr>
        <w:t>United Nations Conference on Trade and Development</w:t>
      </w:r>
      <w:r w:rsidR="00425D89">
        <w:rPr>
          <w:rFonts w:eastAsia="Calibri" w:cs="Calibri"/>
        </w:rPr>
        <w:t xml:space="preserve"> </w:t>
      </w:r>
      <w:r w:rsidR="00C94E20">
        <w:rPr>
          <w:rFonts w:eastAsia="Calibri" w:cs="Calibri"/>
        </w:rPr>
        <w:t>(</w:t>
      </w:r>
      <w:r w:rsidR="00056547" w:rsidRPr="00010C45">
        <w:rPr>
          <w:rFonts w:eastAsia="Calibri" w:cs="Calibri"/>
        </w:rPr>
        <w:t>UNCTAD</w:t>
      </w:r>
      <w:r w:rsidR="00C94E20">
        <w:rPr>
          <w:rFonts w:eastAsia="Calibri" w:cs="Calibri"/>
        </w:rPr>
        <w:t>)</w:t>
      </w:r>
      <w:r w:rsidR="00056547" w:rsidRPr="00010C45">
        <w:rPr>
          <w:rFonts w:eastAsia="Calibri" w:cs="Calibri"/>
        </w:rPr>
        <w:t xml:space="preserve"> en </w:t>
      </w:r>
      <w:r w:rsidR="00ED6C2B" w:rsidRPr="00010C45">
        <w:rPr>
          <w:rFonts w:eastAsia="Calibri" w:cs="Calibri"/>
        </w:rPr>
        <w:t>OESO-rondetafelgesprekken</w:t>
      </w:r>
      <w:r w:rsidR="00056547" w:rsidRPr="00010C45">
        <w:rPr>
          <w:rFonts w:eastAsia="Calibri" w:cs="Calibri"/>
        </w:rPr>
        <w:t xml:space="preserve"> over Maatschappelijk Verantwoord Ondernemen.</w:t>
      </w:r>
      <w:r w:rsidR="002F13D9" w:rsidRPr="00010C45">
        <w:rPr>
          <w:rFonts w:cs="Calibri"/>
        </w:rPr>
        <w:t xml:space="preserve"> De ILO heeft in 2016 de samenwerking met de </w:t>
      </w:r>
      <w:r w:rsidR="002F13D9" w:rsidRPr="00010C45">
        <w:rPr>
          <w:rFonts w:cs="Calibri"/>
          <w:i/>
        </w:rPr>
        <w:t xml:space="preserve">United Nations High Commissioner for Refugees </w:t>
      </w:r>
      <w:r w:rsidR="002F13D9" w:rsidRPr="00010C45">
        <w:rPr>
          <w:rFonts w:cs="Calibri"/>
        </w:rPr>
        <w:t xml:space="preserve">(UNHCR) versterkt op het onderwerp werkgelegenheid voor vluchtelingen. </w:t>
      </w:r>
    </w:p>
    <w:p w14:paraId="66F819F7" w14:textId="77777777" w:rsidR="00056547" w:rsidRPr="00056547" w:rsidRDefault="00056547" w:rsidP="00056547">
      <w:pPr>
        <w:rPr>
          <w:color w:val="5B9BD5"/>
        </w:rPr>
      </w:pPr>
    </w:p>
    <w:p w14:paraId="7907ECEB" w14:textId="31F2D1DC" w:rsidR="008E22BC" w:rsidRDefault="001F0D23" w:rsidP="00114139">
      <w:r>
        <w:t>Op landenniveau werkt de ILO samen via het</w:t>
      </w:r>
      <w:r w:rsidR="00056547" w:rsidRPr="00977D28">
        <w:t xml:space="preserve"> </w:t>
      </w:r>
      <w:r w:rsidR="00056547" w:rsidRPr="000F080F">
        <w:rPr>
          <w:i/>
        </w:rPr>
        <w:t>United Nations Development Assistance Frameworks</w:t>
      </w:r>
      <w:r w:rsidR="00056547">
        <w:t xml:space="preserve"> (UNDAF)</w:t>
      </w:r>
      <w:r>
        <w:t xml:space="preserve"> </w:t>
      </w:r>
      <w:r w:rsidR="00056547">
        <w:t xml:space="preserve">en de </w:t>
      </w:r>
      <w:r w:rsidR="00056547" w:rsidRPr="00B31DCB">
        <w:rPr>
          <w:i/>
        </w:rPr>
        <w:t>One UN</w:t>
      </w:r>
      <w:r w:rsidR="00056547">
        <w:t xml:space="preserve"> gedachte. De ILO neemt ook </w:t>
      </w:r>
      <w:r w:rsidR="00056547" w:rsidRPr="00614A14">
        <w:t xml:space="preserve">op landenniveau actief deel aan de </w:t>
      </w:r>
      <w:r w:rsidR="00056547" w:rsidRPr="00614A14">
        <w:rPr>
          <w:i/>
        </w:rPr>
        <w:t>One UN-pilots</w:t>
      </w:r>
      <w:r w:rsidR="00056547" w:rsidRPr="00614A14">
        <w:t>.</w:t>
      </w:r>
      <w:r w:rsidR="00056547">
        <w:t xml:space="preserve"> </w:t>
      </w:r>
      <w:r w:rsidR="00056547" w:rsidRPr="00614A14">
        <w:t xml:space="preserve">De </w:t>
      </w:r>
      <w:r w:rsidR="00056547" w:rsidRPr="00614A14">
        <w:rPr>
          <w:i/>
        </w:rPr>
        <w:t>Decent Work Agenda</w:t>
      </w:r>
      <w:r w:rsidR="00056547">
        <w:rPr>
          <w:i/>
        </w:rPr>
        <w:t xml:space="preserve"> </w:t>
      </w:r>
      <w:r w:rsidR="00056547" w:rsidRPr="00614A14">
        <w:t xml:space="preserve">wordt ook geïntegreerd in de programma’s van andere VN-organisaties en UNDAF’s. </w:t>
      </w:r>
      <w:r w:rsidR="00056547" w:rsidRPr="00B31DCB">
        <w:t>Doordat de ILO slechts ongeveer 40 landenkantoren heeft, is de samenwerking met an</w:t>
      </w:r>
      <w:r w:rsidR="002E1925">
        <w:t>dere VN-organisaties des te belangrijker</w:t>
      </w:r>
      <w:r w:rsidR="00056547" w:rsidRPr="00B31DCB">
        <w:t xml:space="preserve">. </w:t>
      </w:r>
      <w:r w:rsidR="00056547">
        <w:t xml:space="preserve">De </w:t>
      </w:r>
      <w:r w:rsidR="00056547" w:rsidRPr="00B31DCB">
        <w:t xml:space="preserve">ILO doet mee </w:t>
      </w:r>
      <w:r w:rsidR="00777503">
        <w:t xml:space="preserve">(en draagt financieel ook bij) </w:t>
      </w:r>
      <w:r w:rsidR="00056547" w:rsidRPr="00B31DCB">
        <w:t xml:space="preserve">aan het </w:t>
      </w:r>
      <w:r w:rsidR="00056547" w:rsidRPr="000F080F">
        <w:rPr>
          <w:i/>
        </w:rPr>
        <w:t>Resident Coordinator</w:t>
      </w:r>
      <w:r w:rsidR="00056547">
        <w:t>-</w:t>
      </w:r>
      <w:r w:rsidR="00056547" w:rsidRPr="00614A14">
        <w:t>systeem van de VN</w:t>
      </w:r>
      <w:r w:rsidR="00056547">
        <w:t>, want (</w:t>
      </w:r>
      <w:r w:rsidR="00056547" w:rsidRPr="00614A14">
        <w:t>met name</w:t>
      </w:r>
      <w:r w:rsidR="00056547">
        <w:t xml:space="preserve"> in </w:t>
      </w:r>
      <w:r w:rsidR="00056547" w:rsidRPr="00614A14">
        <w:t>hoog-risicolanden</w:t>
      </w:r>
      <w:r w:rsidR="00056547">
        <w:t xml:space="preserve">) is </w:t>
      </w:r>
      <w:r w:rsidR="00056547" w:rsidRPr="00614A14">
        <w:t xml:space="preserve">het voor de ILO van belang om </w:t>
      </w:r>
      <w:r w:rsidR="00056547">
        <w:t xml:space="preserve">op </w:t>
      </w:r>
      <w:r w:rsidR="00056547" w:rsidRPr="00614A14">
        <w:t xml:space="preserve">te kunnen trekken </w:t>
      </w:r>
      <w:r w:rsidR="00056547">
        <w:t>met de andere VN-</w:t>
      </w:r>
      <w:r w:rsidR="00056547" w:rsidRPr="00614A14">
        <w:t>veldkantoren.</w:t>
      </w:r>
      <w:r w:rsidR="00777503">
        <w:t xml:space="preserve"> De samenwerking met andere VN-organisaties en de </w:t>
      </w:r>
      <w:r w:rsidR="00777503">
        <w:rPr>
          <w:i/>
        </w:rPr>
        <w:t>One UN</w:t>
      </w:r>
      <w:r w:rsidR="00777503">
        <w:t>-gedachte op landenniveau is in de afgelopen jaren steeds beter geïntegreerd in het strategisch management van de ILO. Het MOPAN</w:t>
      </w:r>
      <w:r w:rsidR="002E093D">
        <w:t>-</w:t>
      </w:r>
      <w:r w:rsidR="00777503">
        <w:t xml:space="preserve">rapport stelt wel dat </w:t>
      </w:r>
      <w:r w:rsidR="0017257E">
        <w:t>de coherentie en coördinatie met andere partners op landenniveau nog sterk</w:t>
      </w:r>
      <w:r w:rsidR="00C7655C">
        <w:t xml:space="preserve"> kan verschillen per land</w:t>
      </w:r>
      <w:r w:rsidR="0017257E">
        <w:t xml:space="preserve">. </w:t>
      </w:r>
    </w:p>
    <w:p w14:paraId="031DF8CB" w14:textId="77777777" w:rsidR="008E22BC" w:rsidRPr="00ED2F32" w:rsidRDefault="008E22BC" w:rsidP="00BD7AE6">
      <w:pPr>
        <w:ind w:left="-45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0F3DF239" w14:textId="77777777" w:rsidTr="00B06CE6">
        <w:tc>
          <w:tcPr>
            <w:tcW w:w="6912" w:type="dxa"/>
            <w:tcBorders>
              <w:top w:val="single" w:sz="12" w:space="0" w:color="auto"/>
              <w:left w:val="single" w:sz="12" w:space="0" w:color="auto"/>
              <w:bottom w:val="single" w:sz="12" w:space="0" w:color="auto"/>
            </w:tcBorders>
            <w:shd w:val="clear" w:color="auto" w:fill="D0CECE"/>
          </w:tcPr>
          <w:p w14:paraId="7C66440E"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237F877A" w14:textId="77777777" w:rsidR="002A310E" w:rsidRPr="00EA0AA8" w:rsidRDefault="002A310E" w:rsidP="00382AE3">
            <w:pPr>
              <w:rPr>
                <w:b/>
              </w:rPr>
            </w:pPr>
            <w:r w:rsidRPr="00EA0AA8">
              <w:rPr>
                <w:b/>
              </w:rPr>
              <w:t>Score</w:t>
            </w:r>
          </w:p>
        </w:tc>
      </w:tr>
      <w:tr w:rsidR="002A310E" w14:paraId="63652F10" w14:textId="77777777" w:rsidTr="00382AE3">
        <w:tc>
          <w:tcPr>
            <w:tcW w:w="6912" w:type="dxa"/>
            <w:tcBorders>
              <w:top w:val="single" w:sz="12" w:space="0" w:color="auto"/>
              <w:left w:val="single" w:sz="12" w:space="0" w:color="auto"/>
            </w:tcBorders>
            <w:shd w:val="clear" w:color="auto" w:fill="auto"/>
          </w:tcPr>
          <w:p w14:paraId="073AE6FF" w14:textId="77777777" w:rsidR="002A310E" w:rsidRDefault="00CD7B6F" w:rsidP="00382AE3">
            <w:r>
              <w:t>Partnerschappen met andere organisaties</w:t>
            </w:r>
          </w:p>
        </w:tc>
        <w:tc>
          <w:tcPr>
            <w:tcW w:w="955" w:type="dxa"/>
            <w:tcBorders>
              <w:top w:val="single" w:sz="12" w:space="0" w:color="auto"/>
              <w:right w:val="single" w:sz="12" w:space="0" w:color="auto"/>
            </w:tcBorders>
            <w:shd w:val="clear" w:color="auto" w:fill="auto"/>
          </w:tcPr>
          <w:p w14:paraId="799F9B32" w14:textId="77777777" w:rsidR="002A310E" w:rsidRDefault="00DE4B93" w:rsidP="00382AE3">
            <w:r>
              <w:t>3</w:t>
            </w:r>
          </w:p>
        </w:tc>
      </w:tr>
      <w:tr w:rsidR="002A310E" w14:paraId="4DE51694" w14:textId="77777777" w:rsidTr="00382AE3">
        <w:tc>
          <w:tcPr>
            <w:tcW w:w="6912" w:type="dxa"/>
            <w:tcBorders>
              <w:left w:val="single" w:sz="12" w:space="0" w:color="auto"/>
            </w:tcBorders>
            <w:shd w:val="clear" w:color="auto" w:fill="auto"/>
          </w:tcPr>
          <w:p w14:paraId="66BF58D0" w14:textId="77777777" w:rsidR="002A310E" w:rsidRDefault="00CD7B6F" w:rsidP="00382AE3">
            <w:r>
              <w:t>Visie en rol partnerschappen</w:t>
            </w:r>
          </w:p>
        </w:tc>
        <w:tc>
          <w:tcPr>
            <w:tcW w:w="955" w:type="dxa"/>
            <w:tcBorders>
              <w:right w:val="single" w:sz="12" w:space="0" w:color="auto"/>
            </w:tcBorders>
            <w:shd w:val="clear" w:color="auto" w:fill="auto"/>
          </w:tcPr>
          <w:p w14:paraId="066FB642" w14:textId="77777777" w:rsidR="002A310E" w:rsidRDefault="00F67DEF" w:rsidP="00382AE3">
            <w:r>
              <w:t>3</w:t>
            </w:r>
          </w:p>
        </w:tc>
      </w:tr>
      <w:tr w:rsidR="002A310E" w14:paraId="32893CDE" w14:textId="77777777" w:rsidTr="00382AE3">
        <w:tc>
          <w:tcPr>
            <w:tcW w:w="6912" w:type="dxa"/>
            <w:tcBorders>
              <w:left w:val="single" w:sz="12" w:space="0" w:color="auto"/>
            </w:tcBorders>
            <w:shd w:val="clear" w:color="auto" w:fill="auto"/>
          </w:tcPr>
          <w:p w14:paraId="12EA6E92" w14:textId="77777777" w:rsidR="002A310E" w:rsidRDefault="00CD7B6F" w:rsidP="00C447C0">
            <w:r>
              <w:t>Aanslu</w:t>
            </w:r>
            <w:r w:rsidR="00C447C0">
              <w:t>iting partnerschappen met andere actoren</w:t>
            </w:r>
          </w:p>
        </w:tc>
        <w:tc>
          <w:tcPr>
            <w:tcW w:w="955" w:type="dxa"/>
            <w:tcBorders>
              <w:right w:val="single" w:sz="12" w:space="0" w:color="auto"/>
            </w:tcBorders>
            <w:shd w:val="clear" w:color="auto" w:fill="auto"/>
          </w:tcPr>
          <w:p w14:paraId="49FFC358" w14:textId="77777777" w:rsidR="002A310E" w:rsidRDefault="00F67DEF" w:rsidP="00382AE3">
            <w:r>
              <w:t>2</w:t>
            </w:r>
          </w:p>
        </w:tc>
      </w:tr>
      <w:tr w:rsidR="00422948" w14:paraId="323BF010" w14:textId="77777777" w:rsidTr="00382AE3">
        <w:tc>
          <w:tcPr>
            <w:tcW w:w="6912" w:type="dxa"/>
            <w:tcBorders>
              <w:left w:val="single" w:sz="12" w:space="0" w:color="auto"/>
            </w:tcBorders>
            <w:shd w:val="clear" w:color="auto" w:fill="auto"/>
          </w:tcPr>
          <w:p w14:paraId="317D2255" w14:textId="77777777" w:rsidR="00422948" w:rsidRDefault="00072371" w:rsidP="00C447C0">
            <w:r>
              <w:t>Samenwerking en coördinatie overige actoren</w:t>
            </w:r>
          </w:p>
        </w:tc>
        <w:tc>
          <w:tcPr>
            <w:tcW w:w="955" w:type="dxa"/>
            <w:tcBorders>
              <w:right w:val="single" w:sz="12" w:space="0" w:color="auto"/>
            </w:tcBorders>
            <w:shd w:val="clear" w:color="auto" w:fill="auto"/>
          </w:tcPr>
          <w:p w14:paraId="437A1C77" w14:textId="77777777" w:rsidR="00422948" w:rsidRDefault="00C4720A" w:rsidP="00382AE3">
            <w:r>
              <w:t xml:space="preserve">3 </w:t>
            </w:r>
          </w:p>
        </w:tc>
      </w:tr>
      <w:tr w:rsidR="002A310E" w:rsidRPr="00EA0AA8" w14:paraId="249083BD" w14:textId="77777777" w:rsidTr="00B06CE6">
        <w:tc>
          <w:tcPr>
            <w:tcW w:w="6912" w:type="dxa"/>
            <w:tcBorders>
              <w:top w:val="single" w:sz="12" w:space="0" w:color="auto"/>
              <w:left w:val="single" w:sz="12" w:space="0" w:color="auto"/>
              <w:bottom w:val="single" w:sz="12" w:space="0" w:color="auto"/>
            </w:tcBorders>
            <w:shd w:val="clear" w:color="auto" w:fill="D0CECE"/>
          </w:tcPr>
          <w:p w14:paraId="2840DFBF"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79DD3F81" w14:textId="77777777" w:rsidR="002A310E" w:rsidRPr="00EA0AA8" w:rsidRDefault="00F67DEF" w:rsidP="00382AE3">
            <w:pPr>
              <w:rPr>
                <w:b/>
              </w:rPr>
            </w:pPr>
            <w:r>
              <w:rPr>
                <w:b/>
              </w:rPr>
              <w:t>3</w:t>
            </w:r>
          </w:p>
        </w:tc>
      </w:tr>
    </w:tbl>
    <w:p w14:paraId="58C58699" w14:textId="77777777" w:rsidR="00B54564" w:rsidRDefault="00B54564" w:rsidP="003412ED"/>
    <w:p w14:paraId="6EE3C05A" w14:textId="0FA023D0" w:rsidR="005A07F5" w:rsidRDefault="00687998" w:rsidP="005A07F5">
      <w:pPr>
        <w:ind w:firstLine="227"/>
      </w:pPr>
      <w:r w:rsidRPr="00193994">
        <w:t>Ver</w:t>
      </w:r>
      <w:r>
        <w:t>andering sinds 2015: positief</w:t>
      </w:r>
      <w:r w:rsidRPr="00193994">
        <w:t xml:space="preserve"> =</w:t>
      </w:r>
      <w:r w:rsidR="00ED6C2B">
        <w:t xml:space="preserve"> </w:t>
      </w:r>
      <w:r w:rsidRPr="00193994">
        <w:sym w:font="Wingdings" w:char="F0E9"/>
      </w:r>
    </w:p>
    <w:p w14:paraId="0D8A9A63" w14:textId="77777777" w:rsidR="007F0923" w:rsidRDefault="007F0923" w:rsidP="005A07F5">
      <w:pPr>
        <w:ind w:firstLine="227"/>
        <w:rPr>
          <w:b/>
        </w:rPr>
      </w:pPr>
    </w:p>
    <w:p w14:paraId="501378CC" w14:textId="51FE5C78" w:rsidR="00200B26" w:rsidRPr="00200B26" w:rsidRDefault="009C7D08" w:rsidP="009C7D08">
      <w:pPr>
        <w:pStyle w:val="Heading2"/>
        <w:tabs>
          <w:tab w:val="left" w:pos="-1162"/>
          <w:tab w:val="left" w:pos="0"/>
          <w:tab w:val="num" w:pos="1160"/>
        </w:tabs>
        <w:spacing w:line="240" w:lineRule="auto"/>
        <w:ind w:hanging="1162"/>
        <w:rPr>
          <w:color w:val="5B9BD5"/>
        </w:rPr>
      </w:pPr>
      <w:bookmarkStart w:id="34" w:name="_Toc410140903"/>
      <w:bookmarkStart w:id="35" w:name="_Toc490833563"/>
      <w:r>
        <w:t>4</w:t>
      </w:r>
      <w:r w:rsidR="004D372F" w:rsidRPr="004D372F">
        <w:t>.</w:t>
      </w:r>
      <w:r w:rsidR="00A74DEC">
        <w:t>4</w:t>
      </w:r>
      <w:r w:rsidR="004D372F" w:rsidRPr="004D372F">
        <w:t xml:space="preserve"> </w:t>
      </w:r>
      <w:r w:rsidR="0031751C">
        <w:tab/>
      </w:r>
      <w:r w:rsidR="00CD7B6F">
        <w:t>Operationeel management</w:t>
      </w:r>
      <w:bookmarkEnd w:id="34"/>
      <w:bookmarkEnd w:id="35"/>
    </w:p>
    <w:p w14:paraId="19646C33" w14:textId="3E1C1C21" w:rsidR="00200B26" w:rsidRPr="00F67DEF" w:rsidRDefault="00200B26" w:rsidP="00200B26">
      <w:r w:rsidRPr="00CA331B">
        <w:t xml:space="preserve">De tripartiete samenstelling van de ILO zorgt in principe voor publiek draagvlak van de organisatie en haar internationale arbeidsnormen en aanbevelingen. De effectiviteit van de ILO wordt echter wel op de proef gesteld door deze structuur, waarin twee kampen vaak regelrecht tegenover elkaar staan. Daarbij krijgen inhoudelijke overwegingen in discussies vaak een relatief groot gewicht in vergelijking met efficiëntie-overwegingen. </w:t>
      </w:r>
      <w:r w:rsidRPr="00CA331B">
        <w:rPr>
          <w:rFonts w:cs="Calibri"/>
          <w:color w:val="000000"/>
        </w:rPr>
        <w:t xml:space="preserve">Sommige hervormingen stuiten in Genève op verzet van werkgeverszijde en/of werknemerszijde. Met een actievere sturing van de </w:t>
      </w:r>
      <w:r w:rsidRPr="00CA331B">
        <w:rPr>
          <w:rFonts w:cs="Calibri"/>
          <w:i/>
          <w:color w:val="000000"/>
        </w:rPr>
        <w:t>Office</w:t>
      </w:r>
      <w:r w:rsidRPr="00CA331B">
        <w:rPr>
          <w:rFonts w:eastAsia="Calibri" w:cs="Calibri"/>
          <w:color w:val="000000"/>
        </w:rPr>
        <w:t xml:space="preserve">, bijvoorbeeld door het bepalen van tweejaarlijkse doelstellingen voor </w:t>
      </w:r>
      <w:r w:rsidRPr="00CA331B">
        <w:rPr>
          <w:rFonts w:eastAsia="Calibri" w:cs="Calibri"/>
        </w:rPr>
        <w:t>efficiëntie, zou hier winst te behalen zijn. In de besluitvorming</w:t>
      </w:r>
      <w:r w:rsidR="003553A7">
        <w:rPr>
          <w:rFonts w:eastAsia="Calibri" w:cs="Calibri"/>
        </w:rPr>
        <w:t xml:space="preserve"> moet sterker gezocht worden naar een balans tussen de stem van de sociale partners en de overheden (soms onevenredig veel voor sociale partners)</w:t>
      </w:r>
      <w:r w:rsidRPr="00CA331B">
        <w:rPr>
          <w:rFonts w:eastAsia="Calibri" w:cs="Calibri"/>
        </w:rPr>
        <w:t>. O</w:t>
      </w:r>
      <w:r w:rsidR="285452C2" w:rsidRPr="00CA331B">
        <w:rPr>
          <w:rFonts w:eastAsia="Calibri" w:cs="Calibri"/>
        </w:rPr>
        <w:t>verigens geldt wel dat de sociale partners in discussies bij de hervorming van de Internationale Arbeidsconferentie (waarvan de duur verkort is van drie naar twee weken) hebben laten zien ook oog te hebben voor kostenoverwegingen.</w:t>
      </w:r>
      <w:r w:rsidR="285452C2" w:rsidRPr="00CA331B">
        <w:rPr>
          <w:rFonts w:ascii="Calibri" w:eastAsia="Calibri" w:hAnsi="Calibri" w:cs="Calibri"/>
        </w:rPr>
        <w:t xml:space="preserve"> </w:t>
      </w:r>
      <w:r w:rsidR="285452C2" w:rsidRPr="00CA331B">
        <w:rPr>
          <w:rFonts w:eastAsia="Calibri" w:cs="Calibri"/>
          <w:color w:val="000000"/>
        </w:rPr>
        <w:t>O</w:t>
      </w:r>
      <w:r w:rsidRPr="00CA331B">
        <w:rPr>
          <w:rFonts w:eastAsia="Calibri" w:cs="Calibri"/>
          <w:color w:val="000000"/>
        </w:rPr>
        <w:t xml:space="preserve">verheden </w:t>
      </w:r>
      <w:r w:rsidR="285452C2" w:rsidRPr="00CA331B">
        <w:rPr>
          <w:rFonts w:eastAsia="Calibri" w:cs="Calibri"/>
          <w:color w:val="000000"/>
        </w:rPr>
        <w:t xml:space="preserve">treden sinds enkele jaren ook steeds vaker op via de band van de </w:t>
      </w:r>
      <w:r w:rsidR="285452C2" w:rsidRPr="00CA331B">
        <w:rPr>
          <w:rFonts w:eastAsia="Calibri" w:cs="Calibri"/>
          <w:i/>
          <w:iCs/>
          <w:color w:val="000000"/>
        </w:rPr>
        <w:t>Government group,</w:t>
      </w:r>
      <w:r w:rsidR="285452C2" w:rsidRPr="00CA331B">
        <w:rPr>
          <w:rFonts w:eastAsia="Calibri" w:cs="Calibri"/>
          <w:color w:val="000000"/>
        </w:rPr>
        <w:t xml:space="preserve"> waar het gaat om financi</w:t>
      </w:r>
      <w:r w:rsidR="003553A7">
        <w:rPr>
          <w:rFonts w:eastAsia="Calibri" w:cs="Calibri"/>
          <w:color w:val="000000"/>
        </w:rPr>
        <w:t>ë</w:t>
      </w:r>
      <w:r w:rsidR="285452C2" w:rsidRPr="00CA331B">
        <w:rPr>
          <w:rFonts w:eastAsia="Calibri" w:cs="Calibri"/>
          <w:color w:val="000000"/>
        </w:rPr>
        <w:t>le of institutionele zaken.</w:t>
      </w:r>
      <w:r w:rsidRPr="00CA331B">
        <w:rPr>
          <w:rFonts w:cs="Calibri"/>
          <w:color w:val="000000"/>
        </w:rPr>
        <w:t xml:space="preserve"> </w:t>
      </w:r>
    </w:p>
    <w:p w14:paraId="434EEA4E" w14:textId="77777777" w:rsidR="00200B26" w:rsidRPr="009C6765" w:rsidRDefault="00200B26" w:rsidP="00200B26">
      <w:pPr>
        <w:rPr>
          <w:rFonts w:eastAsia="Verdana" w:cs="Calibri"/>
        </w:rPr>
      </w:pPr>
    </w:p>
    <w:p w14:paraId="43BD9D7D" w14:textId="532FB444" w:rsidR="00200B26" w:rsidRDefault="00200B26" w:rsidP="00200B26">
      <w:r w:rsidRPr="00C34CB8">
        <w:t xml:space="preserve">De </w:t>
      </w:r>
      <w:r w:rsidRPr="00E008A5">
        <w:rPr>
          <w:i/>
        </w:rPr>
        <w:t>Decent Work Agenda</w:t>
      </w:r>
      <w:r w:rsidRPr="00C34CB8">
        <w:t xml:space="preserve"> wordt op landenniveau geoperationaliseerd via </w:t>
      </w:r>
      <w:r w:rsidRPr="00C34CB8">
        <w:rPr>
          <w:i/>
        </w:rPr>
        <w:t>Decent Work Country Programmes</w:t>
      </w:r>
      <w:r w:rsidRPr="00C34CB8">
        <w:t xml:space="preserve">. De nationale ontwikkelingsplannen van het gastland zijn leidend in de programma’s. De ILO werkt nauw samen met NGO’s en heeft in de samenwerking met lokale sociale partners en overheden unieke toegevoegde waarde en autoriteit. </w:t>
      </w:r>
      <w:r>
        <w:t xml:space="preserve">De ILO heeft in de afgelopen jaren sterk gedecentraliseerd en ingezet op het versterken van regio- en landenkantoren, waardoor de ILO sneller </w:t>
      </w:r>
      <w:r>
        <w:lastRenderedPageBreak/>
        <w:t>kan opereren in de regio’s (bijv. in respons op de Syrië vluchtelingencrisis). Dit vindt zijn reflectie in een verschuiving van middelen en personeel in het Programma &amp; Budget, waar middelen voor administratieve functies op het hoofdkantoor in Genève zijn verschoven naar de landenkantoren. De ILO heeft bijvoorbeeld meer specialisten op landen- en regiokantoren aangenomen</w:t>
      </w:r>
      <w:r w:rsidR="285452C2">
        <w:t xml:space="preserve"> en het P&amp;B voor 2018-2019 voorziet in een ombuiging van 22 posities op het hoofdkantoor naar beleidsfuncties in het veld</w:t>
      </w:r>
      <w:r>
        <w:t xml:space="preserve">. </w:t>
      </w:r>
    </w:p>
    <w:p w14:paraId="1161DA73" w14:textId="77777777" w:rsidR="00200B26" w:rsidRPr="00CA331B" w:rsidRDefault="00200B26" w:rsidP="00200B26">
      <w:pPr>
        <w:rPr>
          <w:color w:val="5B9BD5"/>
        </w:rPr>
      </w:pPr>
    </w:p>
    <w:p w14:paraId="1013FFF5" w14:textId="73088598" w:rsidR="00200B26" w:rsidRDefault="00200B26" w:rsidP="0030067E">
      <w:r w:rsidRPr="00CA331B">
        <w:rPr>
          <w:rFonts w:cs="Calibri"/>
        </w:rPr>
        <w:t>De</w:t>
      </w:r>
      <w:r w:rsidRPr="00CA331B">
        <w:rPr>
          <w:rFonts w:eastAsia="Calibri,Verdana" w:cs="Calibri,Verdana"/>
        </w:rPr>
        <w:t xml:space="preserve"> ILO heeft niet alleen een normstellende, maar ook een toezichthoudende taak. </w:t>
      </w:r>
      <w:r w:rsidR="285452C2" w:rsidRPr="00CA331B">
        <w:rPr>
          <w:rFonts w:eastAsia="Calibri,Verdana" w:cs="Calibri,Verdana"/>
        </w:rPr>
        <w:t>Sinds 2012 ligt deze taak onder vuur. Werkgevers en werknemers botsten in dat jaar over de interpretatie van Verdrag 87 (vrijheid van vakvereniging) en de rol</w:t>
      </w:r>
      <w:r w:rsidR="002E093D">
        <w:rPr>
          <w:rFonts w:eastAsia="Calibri,Verdana" w:cs="Calibri,Verdana"/>
        </w:rPr>
        <w:t xml:space="preserve"> </w:t>
      </w:r>
      <w:r w:rsidR="285452C2" w:rsidRPr="00CA331B">
        <w:rPr>
          <w:rFonts w:eastAsia="Calibri,Verdana" w:cs="Calibri,Verdana"/>
        </w:rPr>
        <w:t xml:space="preserve">van het </w:t>
      </w:r>
      <w:r w:rsidR="285452C2" w:rsidRPr="00ED6C2B">
        <w:rPr>
          <w:rFonts w:eastAsia="Calibri,Verdana" w:cs="Calibri,Verdana"/>
          <w:i/>
        </w:rPr>
        <w:t xml:space="preserve">Committee </w:t>
      </w:r>
      <w:r w:rsidR="00ED6C2B" w:rsidRPr="00ED6C2B">
        <w:rPr>
          <w:rFonts w:eastAsia="Calibri,Verdana" w:cs="Calibri,Verdana"/>
          <w:i/>
        </w:rPr>
        <w:t>of</w:t>
      </w:r>
      <w:r w:rsidR="002E093D" w:rsidRPr="00ED6C2B">
        <w:rPr>
          <w:rFonts w:eastAsia="Calibri,Verdana" w:cs="Calibri,Verdana"/>
          <w:i/>
        </w:rPr>
        <w:t xml:space="preserve"> </w:t>
      </w:r>
      <w:r w:rsidR="285452C2" w:rsidRPr="00ED6C2B">
        <w:rPr>
          <w:rFonts w:eastAsia="Calibri,Verdana" w:cs="Calibri,Verdana"/>
          <w:i/>
        </w:rPr>
        <w:t>Experts</w:t>
      </w:r>
      <w:r w:rsidR="285452C2" w:rsidRPr="00CA331B">
        <w:rPr>
          <w:rFonts w:eastAsia="Calibri,Verdana" w:cs="Calibri,Verdana"/>
        </w:rPr>
        <w:t xml:space="preserve"> (onafhankelijke juristen die rapportages van lidstaten beoordelen) binnen het systeem van toezicht van de ILO. Vooralsnog lijken de sociale partners een modus te hebben gevonden om samen met overheden het </w:t>
      </w:r>
      <w:r w:rsidR="00ED6C2B" w:rsidRPr="00CA331B">
        <w:rPr>
          <w:rFonts w:eastAsia="Calibri,Verdana" w:cs="Calibri,Verdana"/>
        </w:rPr>
        <w:t>toezicht mechanisme</w:t>
      </w:r>
      <w:r w:rsidR="285452C2" w:rsidRPr="00CA331B">
        <w:rPr>
          <w:rFonts w:eastAsia="Calibri,Verdana" w:cs="Calibri,Verdana"/>
        </w:rPr>
        <w:t xml:space="preserve"> gefaseerd te herzien en te moderniseren. Een onderdeel van dit traject behelst </w:t>
      </w:r>
      <w:r w:rsidRPr="00CA331B">
        <w:t xml:space="preserve">het </w:t>
      </w:r>
      <w:r w:rsidRPr="00CA331B">
        <w:rPr>
          <w:i/>
          <w:iCs/>
        </w:rPr>
        <w:t>Standards Review Mechanis</w:t>
      </w:r>
      <w:r w:rsidR="285452C2" w:rsidRPr="00CA331B">
        <w:rPr>
          <w:i/>
          <w:iCs/>
        </w:rPr>
        <w:t xml:space="preserve">m, </w:t>
      </w:r>
      <w:r w:rsidR="285452C2" w:rsidRPr="00CA331B">
        <w:t>een werkgroep dat de ILO-verdragen tegen het licht houdt om te bepalen of deze nog bijdetijds zijn</w:t>
      </w:r>
      <w:r w:rsidR="003553A7">
        <w:t>, en dan besluiten of deze afgeschaft zouden moeten worden</w:t>
      </w:r>
      <w:r w:rsidR="285452C2" w:rsidRPr="00CA331B">
        <w:rPr>
          <w:i/>
          <w:iCs/>
        </w:rPr>
        <w:t xml:space="preserve">. </w:t>
      </w:r>
      <w:r w:rsidR="285452C2" w:rsidRPr="00CA331B">
        <w:t>Voor Nederland is dit een</w:t>
      </w:r>
      <w:r w:rsidR="285452C2" w:rsidRPr="285452C2">
        <w:t xml:space="preserve"> belangrijke werkgroep - vanuit de wens tot een relevant en </w:t>
      </w:r>
      <w:r w:rsidR="003553A7">
        <w:t>gemoderniseerd</w:t>
      </w:r>
      <w:r w:rsidR="285452C2" w:rsidRPr="285452C2">
        <w:t xml:space="preserve"> stelsel van ILO-verdragen - en een positief uitvloeisel van </w:t>
      </w:r>
      <w:r w:rsidR="002E093D">
        <w:t>het</w:t>
      </w:r>
      <w:r w:rsidR="002E093D" w:rsidRPr="285452C2">
        <w:t xml:space="preserve"> </w:t>
      </w:r>
      <w:r w:rsidR="285452C2" w:rsidRPr="285452C2">
        <w:t xml:space="preserve">zogenaamde "crisis in het </w:t>
      </w:r>
      <w:r w:rsidR="00ED6C2B" w:rsidRPr="285452C2">
        <w:t>toezicht mechanisme</w:t>
      </w:r>
      <w:r w:rsidR="285452C2" w:rsidRPr="285452C2">
        <w:t>".</w:t>
      </w:r>
      <w:r w:rsidR="285452C2" w:rsidRPr="285452C2">
        <w:rPr>
          <w:i/>
          <w:iCs/>
        </w:rPr>
        <w:t xml:space="preserve"> </w:t>
      </w:r>
    </w:p>
    <w:p w14:paraId="3418E622" w14:textId="77777777" w:rsidR="00D357C1" w:rsidRDefault="00D357C1" w:rsidP="0030067E"/>
    <w:p w14:paraId="3AC24A66" w14:textId="77777777" w:rsidR="00D357C1" w:rsidRDefault="00D357C1" w:rsidP="0030067E">
      <w:r>
        <w:t xml:space="preserve">De hervormingen die DG Ryder in gang heeft gezet hebben gezorgd voor sterkere decentralisatie binnen de organisatie, met de creatie van Regionale Directeuren en meer delegatie van bevoegdheden (bijv. aanbestedingen) naar regionale en landenkantoren. </w:t>
      </w:r>
    </w:p>
    <w:p w14:paraId="0C3E57F2" w14:textId="77777777" w:rsidR="002A310E" w:rsidRDefault="002A310E"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4FCF2E9F" w14:textId="77777777" w:rsidTr="00B06CE6">
        <w:tc>
          <w:tcPr>
            <w:tcW w:w="6912" w:type="dxa"/>
            <w:tcBorders>
              <w:top w:val="single" w:sz="12" w:space="0" w:color="auto"/>
              <w:left w:val="single" w:sz="12" w:space="0" w:color="auto"/>
              <w:bottom w:val="single" w:sz="12" w:space="0" w:color="auto"/>
            </w:tcBorders>
            <w:shd w:val="clear" w:color="auto" w:fill="D0CECE"/>
          </w:tcPr>
          <w:p w14:paraId="56B6CF56"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77EA9790" w14:textId="77777777" w:rsidR="002A310E" w:rsidRPr="00EA0AA8" w:rsidRDefault="002A310E" w:rsidP="00382AE3">
            <w:pPr>
              <w:rPr>
                <w:b/>
              </w:rPr>
            </w:pPr>
            <w:r w:rsidRPr="00EA0AA8">
              <w:rPr>
                <w:b/>
              </w:rPr>
              <w:t>Score</w:t>
            </w:r>
          </w:p>
        </w:tc>
      </w:tr>
      <w:tr w:rsidR="002A310E" w14:paraId="1C03391B" w14:textId="77777777" w:rsidTr="00382AE3">
        <w:tc>
          <w:tcPr>
            <w:tcW w:w="6912" w:type="dxa"/>
            <w:tcBorders>
              <w:top w:val="single" w:sz="12" w:space="0" w:color="auto"/>
              <w:left w:val="single" w:sz="12" w:space="0" w:color="auto"/>
            </w:tcBorders>
            <w:shd w:val="clear" w:color="auto" w:fill="auto"/>
          </w:tcPr>
          <w:p w14:paraId="5938271C" w14:textId="77777777" w:rsidR="002A310E" w:rsidRDefault="008A646F" w:rsidP="00382AE3">
            <w:r>
              <w:t>Delegatie van bevoegdheden</w:t>
            </w:r>
          </w:p>
        </w:tc>
        <w:tc>
          <w:tcPr>
            <w:tcW w:w="955" w:type="dxa"/>
            <w:tcBorders>
              <w:top w:val="single" w:sz="12" w:space="0" w:color="auto"/>
              <w:right w:val="single" w:sz="12" w:space="0" w:color="auto"/>
            </w:tcBorders>
            <w:shd w:val="clear" w:color="auto" w:fill="auto"/>
          </w:tcPr>
          <w:p w14:paraId="7DC33435" w14:textId="77777777" w:rsidR="002A310E" w:rsidRDefault="00DE4B93" w:rsidP="00382AE3">
            <w:r>
              <w:t xml:space="preserve">3 </w:t>
            </w:r>
          </w:p>
        </w:tc>
      </w:tr>
      <w:tr w:rsidR="002A310E" w14:paraId="7BDFCF86" w14:textId="77777777" w:rsidTr="00382AE3">
        <w:tc>
          <w:tcPr>
            <w:tcW w:w="6912" w:type="dxa"/>
            <w:tcBorders>
              <w:left w:val="single" w:sz="12" w:space="0" w:color="auto"/>
            </w:tcBorders>
            <w:shd w:val="clear" w:color="auto" w:fill="auto"/>
          </w:tcPr>
          <w:p w14:paraId="4FC0C9BF" w14:textId="77777777" w:rsidR="002A310E" w:rsidRDefault="008A646F" w:rsidP="00382AE3">
            <w:r>
              <w:t>Projectbeheer en financieel beheer</w:t>
            </w:r>
          </w:p>
        </w:tc>
        <w:tc>
          <w:tcPr>
            <w:tcW w:w="955" w:type="dxa"/>
            <w:tcBorders>
              <w:right w:val="single" w:sz="12" w:space="0" w:color="auto"/>
            </w:tcBorders>
            <w:shd w:val="clear" w:color="auto" w:fill="auto"/>
          </w:tcPr>
          <w:p w14:paraId="20D60FCB" w14:textId="77777777" w:rsidR="002A310E" w:rsidRDefault="00753D7D" w:rsidP="00382AE3">
            <w:r>
              <w:t xml:space="preserve">3 </w:t>
            </w:r>
          </w:p>
        </w:tc>
      </w:tr>
      <w:tr w:rsidR="002A310E" w14:paraId="7A05B472" w14:textId="77777777" w:rsidTr="00382AE3">
        <w:tc>
          <w:tcPr>
            <w:tcW w:w="6912" w:type="dxa"/>
            <w:tcBorders>
              <w:left w:val="single" w:sz="12" w:space="0" w:color="auto"/>
            </w:tcBorders>
            <w:shd w:val="clear" w:color="auto" w:fill="auto"/>
          </w:tcPr>
          <w:p w14:paraId="2FF798E1" w14:textId="77777777" w:rsidR="002A310E" w:rsidRDefault="008A646F" w:rsidP="00382AE3">
            <w:r>
              <w:t>Verantwoordelijkheden en bevoegdheden decentrale kantoren</w:t>
            </w:r>
          </w:p>
        </w:tc>
        <w:tc>
          <w:tcPr>
            <w:tcW w:w="955" w:type="dxa"/>
            <w:tcBorders>
              <w:right w:val="single" w:sz="12" w:space="0" w:color="auto"/>
            </w:tcBorders>
            <w:shd w:val="clear" w:color="auto" w:fill="auto"/>
          </w:tcPr>
          <w:p w14:paraId="5BF01736" w14:textId="77777777" w:rsidR="002A310E" w:rsidRDefault="00DE4B93" w:rsidP="00382AE3">
            <w:r>
              <w:t xml:space="preserve">3 </w:t>
            </w:r>
          </w:p>
        </w:tc>
      </w:tr>
      <w:tr w:rsidR="002A310E" w14:paraId="4AF291B3" w14:textId="77777777" w:rsidTr="00382AE3">
        <w:tc>
          <w:tcPr>
            <w:tcW w:w="6912" w:type="dxa"/>
            <w:tcBorders>
              <w:left w:val="single" w:sz="12" w:space="0" w:color="auto"/>
              <w:bottom w:val="single" w:sz="12" w:space="0" w:color="auto"/>
            </w:tcBorders>
            <w:shd w:val="clear" w:color="auto" w:fill="auto"/>
          </w:tcPr>
          <w:p w14:paraId="6D689DB2" w14:textId="77777777" w:rsidR="002A310E" w:rsidRDefault="008A646F" w:rsidP="00382AE3">
            <w:r>
              <w:t>Gebruik van lokale partners en systemen</w:t>
            </w:r>
          </w:p>
        </w:tc>
        <w:tc>
          <w:tcPr>
            <w:tcW w:w="955" w:type="dxa"/>
            <w:tcBorders>
              <w:bottom w:val="single" w:sz="12" w:space="0" w:color="auto"/>
              <w:right w:val="single" w:sz="12" w:space="0" w:color="auto"/>
            </w:tcBorders>
            <w:shd w:val="clear" w:color="auto" w:fill="auto"/>
          </w:tcPr>
          <w:p w14:paraId="70B65EC1" w14:textId="77777777" w:rsidR="002A310E" w:rsidRDefault="00DE4B93" w:rsidP="00382AE3">
            <w:r>
              <w:t xml:space="preserve">3 </w:t>
            </w:r>
          </w:p>
        </w:tc>
      </w:tr>
      <w:tr w:rsidR="002A310E" w:rsidRPr="00EA0AA8" w14:paraId="0CDADA33" w14:textId="77777777" w:rsidTr="00B06CE6">
        <w:tc>
          <w:tcPr>
            <w:tcW w:w="6912" w:type="dxa"/>
            <w:tcBorders>
              <w:top w:val="single" w:sz="12" w:space="0" w:color="auto"/>
              <w:left w:val="single" w:sz="12" w:space="0" w:color="auto"/>
              <w:bottom w:val="single" w:sz="12" w:space="0" w:color="auto"/>
            </w:tcBorders>
            <w:shd w:val="clear" w:color="auto" w:fill="D0CECE"/>
          </w:tcPr>
          <w:p w14:paraId="43FA16B4"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5A7466C2" w14:textId="77777777" w:rsidR="002A310E" w:rsidRPr="00EA0AA8" w:rsidRDefault="001C6571" w:rsidP="00382AE3">
            <w:pPr>
              <w:rPr>
                <w:b/>
              </w:rPr>
            </w:pPr>
            <w:r>
              <w:rPr>
                <w:b/>
              </w:rPr>
              <w:t>3</w:t>
            </w:r>
          </w:p>
        </w:tc>
      </w:tr>
    </w:tbl>
    <w:p w14:paraId="5C467E79" w14:textId="77777777" w:rsidR="002A310E" w:rsidRDefault="002A310E" w:rsidP="00326699"/>
    <w:p w14:paraId="30A70B9C" w14:textId="05FA9F57" w:rsidR="00D32F98" w:rsidRDefault="00D32F98" w:rsidP="005A07F5">
      <w:pPr>
        <w:ind w:firstLine="227"/>
      </w:pPr>
      <w:r w:rsidRPr="00193994">
        <w:t>Ver</w:t>
      </w:r>
      <w:r>
        <w:t>andering sinds 2015: positief</w:t>
      </w:r>
      <w:r w:rsidRPr="00193994">
        <w:t xml:space="preserve"> =</w:t>
      </w:r>
      <w:r w:rsidR="00ED6C2B">
        <w:t xml:space="preserve"> </w:t>
      </w:r>
      <w:r w:rsidRPr="00193994">
        <w:sym w:font="Wingdings" w:char="F0E9"/>
      </w:r>
    </w:p>
    <w:p w14:paraId="7ABF79B6" w14:textId="77777777" w:rsidR="007F0923" w:rsidRDefault="007F0923" w:rsidP="005A07F5">
      <w:pPr>
        <w:ind w:firstLine="227"/>
        <w:rPr>
          <w:b/>
        </w:rPr>
      </w:pPr>
    </w:p>
    <w:p w14:paraId="54D76036" w14:textId="1B4793B2" w:rsidR="003A32D7" w:rsidRDefault="009C7D08" w:rsidP="009C7D08">
      <w:pPr>
        <w:pStyle w:val="Heading2"/>
        <w:tabs>
          <w:tab w:val="left" w:pos="-1162"/>
          <w:tab w:val="left" w:pos="0"/>
          <w:tab w:val="num" w:pos="1160"/>
        </w:tabs>
        <w:spacing w:line="240" w:lineRule="auto"/>
        <w:ind w:hanging="1162"/>
      </w:pPr>
      <w:bookmarkStart w:id="36" w:name="_Toc490833564"/>
      <w:r>
        <w:t>4</w:t>
      </w:r>
      <w:r w:rsidR="00E276B2">
        <w:t>.</w:t>
      </w:r>
      <w:r w:rsidR="00A74DEC">
        <w:t>5</w:t>
      </w:r>
      <w:r w:rsidR="00E276B2">
        <w:tab/>
      </w:r>
      <w:r w:rsidR="003A32D7" w:rsidRPr="004D372F">
        <w:t>Beleidsevaluatie</w:t>
      </w:r>
      <w:bookmarkEnd w:id="36"/>
    </w:p>
    <w:p w14:paraId="7CD2B1E1" w14:textId="06AC635B" w:rsidR="004D1BE1" w:rsidRPr="00CA331B" w:rsidRDefault="004D1BE1" w:rsidP="00A47DC5">
      <w:pPr>
        <w:tabs>
          <w:tab w:val="left" w:pos="2100"/>
        </w:tabs>
      </w:pPr>
      <w:r>
        <w:t xml:space="preserve">De ILO heeft een geheel onafhankelijke </w:t>
      </w:r>
      <w:r>
        <w:rPr>
          <w:i/>
        </w:rPr>
        <w:t xml:space="preserve">Evaluation Office </w:t>
      </w:r>
      <w:r>
        <w:t xml:space="preserve">die direct aan de directeur-generaal rapporteert, maar ook aan de Beheersraad van de ILO. </w:t>
      </w:r>
      <w:r w:rsidR="00A47DC5">
        <w:t xml:space="preserve">Het </w:t>
      </w:r>
      <w:r w:rsidR="00A47DC5" w:rsidRPr="00642A29">
        <w:rPr>
          <w:i/>
        </w:rPr>
        <w:t>Evaluation Office</w:t>
      </w:r>
      <w:r w:rsidR="00A47DC5">
        <w:t xml:space="preserve"> voert zowel </w:t>
      </w:r>
      <w:r w:rsidR="00A47DC5" w:rsidRPr="00BF1D62">
        <w:t xml:space="preserve">beleidsevaluaties </w:t>
      </w:r>
      <w:r w:rsidR="00A47DC5">
        <w:t xml:space="preserve">als evaluaties van </w:t>
      </w:r>
      <w:r w:rsidR="00A47DC5" w:rsidRPr="00BF1D62">
        <w:t xml:space="preserve">decentrale projecten </w:t>
      </w:r>
      <w:r w:rsidR="00A47DC5">
        <w:t>uit</w:t>
      </w:r>
      <w:r w:rsidR="00A47DC5" w:rsidRPr="00BF1D62">
        <w:t>.</w:t>
      </w:r>
      <w:r w:rsidR="00A47DC5">
        <w:t xml:space="preserve"> Daarnaast levert het ook een jaarlijks evaluatierapport waar</w:t>
      </w:r>
      <w:r w:rsidR="00966052">
        <w:t>in</w:t>
      </w:r>
      <w:r w:rsidR="00A47DC5">
        <w:t xml:space="preserve"> het rapporteert over de eigen voortgang en over de implementatie van eerdere aanbevelingen.</w:t>
      </w:r>
      <w:r w:rsidR="00062880">
        <w:t xml:space="preserve"> Alle huidige evaluaties zijn verplicht en moeten óf mid-term óf aan het einde uitgevoerd worden afhankelijk van de omvang van het project. </w:t>
      </w:r>
      <w:r w:rsidR="285452C2" w:rsidRPr="00CA331B">
        <w:t>Gezien de beperkte capaciteit van de evaluatie-eenheid wordt ook veel gebruik gemaakt van liaison-</w:t>
      </w:r>
      <w:r w:rsidR="285452C2" w:rsidRPr="00ED6C2B">
        <w:rPr>
          <w:i/>
        </w:rPr>
        <w:t>officers</w:t>
      </w:r>
      <w:r w:rsidR="285452C2" w:rsidRPr="00CA331B">
        <w:t xml:space="preserve"> op veldkantoren en van "</w:t>
      </w:r>
      <w:r w:rsidR="285452C2" w:rsidRPr="00ED6C2B">
        <w:rPr>
          <w:i/>
        </w:rPr>
        <w:t>self-assessments</w:t>
      </w:r>
      <w:r w:rsidR="285452C2" w:rsidRPr="00CA331B">
        <w:t xml:space="preserve">". </w:t>
      </w:r>
    </w:p>
    <w:p w14:paraId="0FB385DF" w14:textId="77777777" w:rsidR="004D1BE1" w:rsidRPr="00CA331B" w:rsidRDefault="004D1BE1" w:rsidP="00A47DC5">
      <w:pPr>
        <w:tabs>
          <w:tab w:val="left" w:pos="2100"/>
        </w:tabs>
      </w:pPr>
    </w:p>
    <w:p w14:paraId="437D4981" w14:textId="11D8C03B" w:rsidR="285452C2" w:rsidRDefault="004D1BE1" w:rsidP="007F0923">
      <w:pPr>
        <w:tabs>
          <w:tab w:val="left" w:pos="2100"/>
        </w:tabs>
      </w:pPr>
      <w:r w:rsidRPr="00CA331B">
        <w:t>Het Evaluation Office opereert conform de criteria van de VN Evaluatie Groep en de OESO DAC. Evaluaties van de ILO zijn goed beschikbaar (op de website of op te vragen) en de kwaliteit</w:t>
      </w:r>
      <w:r w:rsidR="0019197B">
        <w:t xml:space="preserve"> van evaluaties is hoog: verschillende </w:t>
      </w:r>
      <w:r w:rsidRPr="00CA331B">
        <w:t>recent rapport</w:t>
      </w:r>
      <w:r w:rsidR="0019197B">
        <w:t>en geven</w:t>
      </w:r>
      <w:r w:rsidRPr="00CA331B">
        <w:t xml:space="preserve"> de evaluatiedienst van de ILO een van de hoogste scores van alle onderzochte VN-organisaties.</w:t>
      </w:r>
      <w:r w:rsidR="00ED6C2B">
        <w:t xml:space="preserve"> </w:t>
      </w:r>
      <w:r w:rsidR="00AB46BB" w:rsidRPr="00CA331B">
        <w:t>Ook het MOPAN</w:t>
      </w:r>
      <w:r w:rsidR="00966052">
        <w:t>-</w:t>
      </w:r>
      <w:r w:rsidR="00AB46BB" w:rsidRPr="00CA331B">
        <w:t xml:space="preserve">rapport geeft een hoge waardering voor het evaluatiebeleid van de ILO, maar stelt wel dat aanbevelingen van de </w:t>
      </w:r>
      <w:r w:rsidR="00AB46BB" w:rsidRPr="00642A29">
        <w:rPr>
          <w:i/>
        </w:rPr>
        <w:t xml:space="preserve">Evaluation </w:t>
      </w:r>
      <w:r w:rsidR="00AB46BB" w:rsidRPr="00642A29">
        <w:rPr>
          <w:i/>
        </w:rPr>
        <w:lastRenderedPageBreak/>
        <w:t>Office</w:t>
      </w:r>
      <w:r w:rsidR="00AB46BB" w:rsidRPr="00CA331B">
        <w:t xml:space="preserve"> niet voldoende opgevolgd worden en dat er te weinig financiële middelen worden vrijgemaakt voor projectevaluaties (minder dan 1.5% van projectkosten).</w:t>
      </w:r>
      <w:r w:rsidR="00BD3D78" w:rsidRPr="00CA331B">
        <w:t xml:space="preserve"> </w:t>
      </w:r>
      <w:r w:rsidR="0019197B">
        <w:t xml:space="preserve">De </w:t>
      </w:r>
      <w:r w:rsidR="0019197B" w:rsidRPr="00642A29">
        <w:rPr>
          <w:i/>
        </w:rPr>
        <w:t>Evaluation Office</w:t>
      </w:r>
      <w:r w:rsidR="0019197B">
        <w:t xml:space="preserve"> moet in de toekomst toegaan naar een meer flexibele, geïntegreerde en gebruiksgerichte aanpak. De grootste uitdaging is dit te bewerkstelligen met eenzelfde kleine team, zonder in te boeten aan kwaliteit en reikwijdte. Het rapport geeft desondanks een aantal aanbevelingen, waaronder een waarschuwing dat het niet haalbaar lijkt te zijn om de 2% evaluatiekosten die in projecten worden meegenomen met een vast budget. </w:t>
      </w:r>
      <w:r w:rsidR="00A47DC5" w:rsidRPr="00CA331B">
        <w:t xml:space="preserve">Ryder heeft in het budget van 2016-2017 extra middelen vrijgemaakt om de evaluatiecapaciteit van de ILO te versterken. </w:t>
      </w:r>
      <w:r w:rsidR="00CA331B" w:rsidRPr="00CA331B">
        <w:t xml:space="preserve">In het P&amp;B 2018-19 is voorzien in een licht hoger budget voor de </w:t>
      </w:r>
      <w:r w:rsidR="00CA331B" w:rsidRPr="00CA331B">
        <w:rPr>
          <w:i/>
          <w:iCs/>
        </w:rPr>
        <w:t>Evaluation Office</w:t>
      </w:r>
      <w:r w:rsidR="00CA331B" w:rsidRPr="00CA331B">
        <w:t>.</w:t>
      </w:r>
      <w:r w:rsidR="0019197B">
        <w:t xml:space="preserve"> Het </w:t>
      </w:r>
      <w:r w:rsidR="0019197B" w:rsidRPr="00642A29">
        <w:rPr>
          <w:i/>
        </w:rPr>
        <w:t>Evaluation Office</w:t>
      </w:r>
      <w:r w:rsidR="0019197B">
        <w:t xml:space="preserve"> heeft recentelijk stappen genomen om een systematisch follow-up mechanisme op te zetten, waaronder criteria voor het opnemen van </w:t>
      </w:r>
      <w:r w:rsidR="0019197B">
        <w:rPr>
          <w:i/>
        </w:rPr>
        <w:t>best practices</w:t>
      </w:r>
      <w:r w:rsidR="0019197B">
        <w:t xml:space="preserve"> in projectevaluaties en een</w:t>
      </w:r>
      <w:r w:rsidR="0019197B">
        <w:rPr>
          <w:i/>
        </w:rPr>
        <w:t xml:space="preserve"> Knowledge Sharing Platform</w:t>
      </w:r>
      <w:r w:rsidR="0019197B">
        <w:t xml:space="preserve"> die het makkelijker moet maken om </w:t>
      </w:r>
      <w:r w:rsidR="0019197B">
        <w:rPr>
          <w:i/>
        </w:rPr>
        <w:t xml:space="preserve">best practices </w:t>
      </w:r>
      <w:r w:rsidR="0019197B">
        <w:t>te integreren in de organisatie.</w:t>
      </w:r>
    </w:p>
    <w:p w14:paraId="3DD1169F" w14:textId="77777777" w:rsidR="003A32D7" w:rsidRPr="00FD724E" w:rsidRDefault="003A32D7" w:rsidP="00326699">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32A672AE" w14:textId="77777777" w:rsidTr="00B06CE6">
        <w:tc>
          <w:tcPr>
            <w:tcW w:w="6912" w:type="dxa"/>
            <w:tcBorders>
              <w:top w:val="single" w:sz="12" w:space="0" w:color="auto"/>
              <w:left w:val="single" w:sz="12" w:space="0" w:color="auto"/>
              <w:bottom w:val="single" w:sz="12" w:space="0" w:color="auto"/>
            </w:tcBorders>
            <w:shd w:val="clear" w:color="auto" w:fill="D0CECE"/>
          </w:tcPr>
          <w:p w14:paraId="4BAD6BDB"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264AE4EC" w14:textId="77777777" w:rsidR="002A310E" w:rsidRPr="00EA0AA8" w:rsidRDefault="002A310E" w:rsidP="00382AE3">
            <w:pPr>
              <w:rPr>
                <w:b/>
              </w:rPr>
            </w:pPr>
            <w:r w:rsidRPr="00EA0AA8">
              <w:rPr>
                <w:b/>
              </w:rPr>
              <w:t>Score</w:t>
            </w:r>
          </w:p>
        </w:tc>
      </w:tr>
      <w:tr w:rsidR="002A310E" w14:paraId="431B3FF2" w14:textId="77777777" w:rsidTr="00382AE3">
        <w:tc>
          <w:tcPr>
            <w:tcW w:w="6912" w:type="dxa"/>
            <w:tcBorders>
              <w:top w:val="single" w:sz="12" w:space="0" w:color="auto"/>
              <w:left w:val="single" w:sz="12" w:space="0" w:color="auto"/>
            </w:tcBorders>
            <w:shd w:val="clear" w:color="auto" w:fill="auto"/>
          </w:tcPr>
          <w:p w14:paraId="7348F401" w14:textId="77777777" w:rsidR="002A310E" w:rsidRDefault="008A646F" w:rsidP="00382AE3">
            <w:r>
              <w:t>Helder vastgelegd evaluatiebeleid</w:t>
            </w:r>
          </w:p>
        </w:tc>
        <w:tc>
          <w:tcPr>
            <w:tcW w:w="955" w:type="dxa"/>
            <w:tcBorders>
              <w:top w:val="single" w:sz="12" w:space="0" w:color="auto"/>
              <w:right w:val="single" w:sz="12" w:space="0" w:color="auto"/>
            </w:tcBorders>
            <w:shd w:val="clear" w:color="auto" w:fill="auto"/>
          </w:tcPr>
          <w:p w14:paraId="3A51587F" w14:textId="2C9F135C" w:rsidR="002A310E" w:rsidRDefault="00A01CEA" w:rsidP="00382AE3">
            <w:r>
              <w:t>4</w:t>
            </w:r>
            <w:r w:rsidR="00ED6C2B">
              <w:t xml:space="preserve">  </w:t>
            </w:r>
          </w:p>
        </w:tc>
      </w:tr>
      <w:tr w:rsidR="002A310E" w14:paraId="1579E93A" w14:textId="77777777" w:rsidTr="00382AE3">
        <w:tc>
          <w:tcPr>
            <w:tcW w:w="6912" w:type="dxa"/>
            <w:tcBorders>
              <w:left w:val="single" w:sz="12" w:space="0" w:color="auto"/>
            </w:tcBorders>
            <w:shd w:val="clear" w:color="auto" w:fill="auto"/>
          </w:tcPr>
          <w:p w14:paraId="6A41F55A" w14:textId="77777777" w:rsidR="002A310E" w:rsidRDefault="008A646F" w:rsidP="00382AE3">
            <w:r>
              <w:t>Inrichting evaluatiefunctie</w:t>
            </w:r>
          </w:p>
        </w:tc>
        <w:tc>
          <w:tcPr>
            <w:tcW w:w="955" w:type="dxa"/>
            <w:tcBorders>
              <w:right w:val="single" w:sz="12" w:space="0" w:color="auto"/>
            </w:tcBorders>
            <w:shd w:val="clear" w:color="auto" w:fill="auto"/>
          </w:tcPr>
          <w:p w14:paraId="26CD4F87" w14:textId="044DC198" w:rsidR="002A310E" w:rsidRDefault="00B456EC" w:rsidP="00382AE3">
            <w:r>
              <w:t>4</w:t>
            </w:r>
            <w:r w:rsidR="00ED6C2B">
              <w:t xml:space="preserve">   </w:t>
            </w:r>
          </w:p>
        </w:tc>
      </w:tr>
      <w:tr w:rsidR="002A310E" w14:paraId="2C611038" w14:textId="77777777" w:rsidTr="00382AE3">
        <w:tc>
          <w:tcPr>
            <w:tcW w:w="6912" w:type="dxa"/>
            <w:tcBorders>
              <w:left w:val="single" w:sz="12" w:space="0" w:color="auto"/>
            </w:tcBorders>
            <w:shd w:val="clear" w:color="auto" w:fill="auto"/>
          </w:tcPr>
          <w:p w14:paraId="2A1C75C2" w14:textId="77777777" w:rsidR="002A310E" w:rsidRDefault="008A646F" w:rsidP="00382AE3">
            <w:r>
              <w:t>Onafhankelijkheid eval</w:t>
            </w:r>
            <w:r w:rsidR="00537DB3">
              <w:t>uatie-</w:t>
            </w:r>
            <w:r>
              <w:t>eenheid</w:t>
            </w:r>
          </w:p>
        </w:tc>
        <w:tc>
          <w:tcPr>
            <w:tcW w:w="955" w:type="dxa"/>
            <w:tcBorders>
              <w:right w:val="single" w:sz="12" w:space="0" w:color="auto"/>
            </w:tcBorders>
            <w:shd w:val="clear" w:color="auto" w:fill="auto"/>
          </w:tcPr>
          <w:p w14:paraId="37EF76CE" w14:textId="014EC93F" w:rsidR="002A310E" w:rsidRDefault="00A01CEA" w:rsidP="00382AE3">
            <w:r>
              <w:t>4</w:t>
            </w:r>
            <w:r w:rsidR="00ED6C2B">
              <w:t xml:space="preserve"> </w:t>
            </w:r>
            <w:r w:rsidR="00B456EC">
              <w:t xml:space="preserve"> </w:t>
            </w:r>
          </w:p>
        </w:tc>
      </w:tr>
      <w:tr w:rsidR="00AA4C2B" w14:paraId="2A2AD842" w14:textId="77777777" w:rsidTr="00382AE3">
        <w:tc>
          <w:tcPr>
            <w:tcW w:w="6912" w:type="dxa"/>
            <w:tcBorders>
              <w:left w:val="single" w:sz="12" w:space="0" w:color="auto"/>
            </w:tcBorders>
            <w:shd w:val="clear" w:color="auto" w:fill="auto"/>
          </w:tcPr>
          <w:p w14:paraId="5653AE07" w14:textId="77777777" w:rsidR="00AA4C2B" w:rsidRDefault="00AA4C2B" w:rsidP="00382AE3">
            <w:r>
              <w:t>Reikwijdte en relevantie evaluaties</w:t>
            </w:r>
          </w:p>
        </w:tc>
        <w:tc>
          <w:tcPr>
            <w:tcW w:w="955" w:type="dxa"/>
            <w:tcBorders>
              <w:right w:val="single" w:sz="12" w:space="0" w:color="auto"/>
            </w:tcBorders>
            <w:shd w:val="clear" w:color="auto" w:fill="auto"/>
          </w:tcPr>
          <w:p w14:paraId="239A5523" w14:textId="64E6B923" w:rsidR="00AA4C2B" w:rsidRDefault="008E21AA" w:rsidP="00382AE3">
            <w:r>
              <w:t>4</w:t>
            </w:r>
            <w:r w:rsidR="00ED6C2B">
              <w:t xml:space="preserve"> </w:t>
            </w:r>
            <w:r w:rsidR="00B456EC">
              <w:t xml:space="preserve"> </w:t>
            </w:r>
          </w:p>
        </w:tc>
      </w:tr>
      <w:tr w:rsidR="002A310E" w14:paraId="0520E719" w14:textId="77777777" w:rsidTr="00382AE3">
        <w:tc>
          <w:tcPr>
            <w:tcW w:w="6912" w:type="dxa"/>
            <w:tcBorders>
              <w:left w:val="single" w:sz="12" w:space="0" w:color="auto"/>
              <w:bottom w:val="single" w:sz="12" w:space="0" w:color="auto"/>
            </w:tcBorders>
            <w:shd w:val="clear" w:color="auto" w:fill="auto"/>
          </w:tcPr>
          <w:p w14:paraId="2BFBCE80" w14:textId="77777777" w:rsidR="002A310E" w:rsidRDefault="008A646F" w:rsidP="00382AE3">
            <w:r>
              <w:t>Follow up aanbevelingen evaluaties</w:t>
            </w:r>
          </w:p>
        </w:tc>
        <w:tc>
          <w:tcPr>
            <w:tcW w:w="955" w:type="dxa"/>
            <w:tcBorders>
              <w:bottom w:val="single" w:sz="12" w:space="0" w:color="auto"/>
              <w:right w:val="single" w:sz="12" w:space="0" w:color="auto"/>
            </w:tcBorders>
            <w:shd w:val="clear" w:color="auto" w:fill="auto"/>
          </w:tcPr>
          <w:p w14:paraId="52988B8C" w14:textId="32887D7E" w:rsidR="002A310E" w:rsidRDefault="00B456EC" w:rsidP="00382AE3">
            <w:r>
              <w:t>3</w:t>
            </w:r>
            <w:r w:rsidR="00ED6C2B">
              <w:t xml:space="preserve">  </w:t>
            </w:r>
            <w:r>
              <w:t xml:space="preserve"> </w:t>
            </w:r>
          </w:p>
        </w:tc>
      </w:tr>
      <w:tr w:rsidR="002A310E" w:rsidRPr="00EA0AA8" w14:paraId="36E2C34A" w14:textId="77777777" w:rsidTr="00B06CE6">
        <w:tc>
          <w:tcPr>
            <w:tcW w:w="6912" w:type="dxa"/>
            <w:tcBorders>
              <w:top w:val="single" w:sz="12" w:space="0" w:color="auto"/>
              <w:left w:val="single" w:sz="12" w:space="0" w:color="auto"/>
              <w:bottom w:val="single" w:sz="12" w:space="0" w:color="auto"/>
            </w:tcBorders>
            <w:shd w:val="clear" w:color="auto" w:fill="D0CECE"/>
          </w:tcPr>
          <w:p w14:paraId="4D67C3BE"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59F9932" w14:textId="77777777" w:rsidR="002A310E" w:rsidRPr="00EA0AA8" w:rsidRDefault="00DE4B93" w:rsidP="00382AE3">
            <w:pPr>
              <w:rPr>
                <w:b/>
              </w:rPr>
            </w:pPr>
            <w:r>
              <w:rPr>
                <w:b/>
              </w:rPr>
              <w:t>4</w:t>
            </w:r>
          </w:p>
        </w:tc>
      </w:tr>
    </w:tbl>
    <w:p w14:paraId="57D267A8" w14:textId="77777777" w:rsidR="002A310E" w:rsidRDefault="002A310E" w:rsidP="00326699"/>
    <w:p w14:paraId="5B974C55" w14:textId="0A618D41" w:rsidR="00E20A86" w:rsidRDefault="00D32F98" w:rsidP="005A07F5">
      <w:pPr>
        <w:ind w:firstLine="227"/>
      </w:pPr>
      <w:r w:rsidRPr="00687CA4">
        <w:rPr>
          <w:lang w:val="en-US"/>
        </w:rPr>
        <w:t>Verandering sinds 2015: positief =</w:t>
      </w:r>
      <w:r w:rsidR="00ED6C2B">
        <w:rPr>
          <w:lang w:val="en-US"/>
        </w:rPr>
        <w:t xml:space="preserve"> </w:t>
      </w:r>
      <w:r w:rsidRPr="00193994">
        <w:sym w:font="Wingdings" w:char="F0E9"/>
      </w:r>
    </w:p>
    <w:p w14:paraId="5B74A9B7" w14:textId="77777777" w:rsidR="007F0923" w:rsidRPr="00687CA4" w:rsidRDefault="007F0923" w:rsidP="005A07F5">
      <w:pPr>
        <w:ind w:firstLine="227"/>
        <w:rPr>
          <w:b/>
          <w:lang w:val="en-US"/>
        </w:rPr>
      </w:pPr>
    </w:p>
    <w:p w14:paraId="01DF6F20" w14:textId="4DA49DDA" w:rsidR="00DE343C" w:rsidRPr="009C7D08" w:rsidRDefault="009C7D08" w:rsidP="009C7D08">
      <w:pPr>
        <w:pStyle w:val="Heading2"/>
        <w:tabs>
          <w:tab w:val="left" w:pos="-1162"/>
          <w:tab w:val="left" w:pos="0"/>
          <w:tab w:val="num" w:pos="1160"/>
        </w:tabs>
        <w:spacing w:line="240" w:lineRule="auto"/>
        <w:ind w:hanging="1162"/>
        <w:rPr>
          <w:b w:val="0"/>
        </w:rPr>
      </w:pPr>
      <w:bookmarkStart w:id="37" w:name="_Toc348364671"/>
      <w:bookmarkStart w:id="38" w:name="_Toc490833565"/>
      <w:r w:rsidRPr="009C7D08">
        <w:t>4</w:t>
      </w:r>
      <w:r w:rsidR="004D372F" w:rsidRPr="009C7D08">
        <w:t>.</w:t>
      </w:r>
      <w:r w:rsidR="00A74DEC" w:rsidRPr="009C7D08">
        <w:t>6</w:t>
      </w:r>
      <w:r w:rsidR="004D372F" w:rsidRPr="009C7D08">
        <w:tab/>
      </w:r>
      <w:r w:rsidR="00DE343C" w:rsidRPr="009C7D08">
        <w:t>Human Resource Management</w:t>
      </w:r>
      <w:bookmarkEnd w:id="37"/>
      <w:bookmarkEnd w:id="38"/>
    </w:p>
    <w:p w14:paraId="7B17E5AE" w14:textId="765A4B72" w:rsidR="00242FF6" w:rsidRDefault="00F15F6D" w:rsidP="00DE343C">
      <w:r>
        <w:t>Het personeelsbeleid is voor DG Ryder een belangrijk element van zijn hervormingsagenda. Hij wil toe naar een ILO die slanker is op hoofdkantoorniveau, en flexibeler</w:t>
      </w:r>
      <w:r w:rsidR="00CA5E63">
        <w:t>,</w:t>
      </w:r>
      <w:r>
        <w:t xml:space="preserve"> met meer expertise op regio- en landenniveau. </w:t>
      </w:r>
      <w:r w:rsidR="00242FF6">
        <w:t>Het aantal administratieve functies op het hoofdkantoor wordt</w:t>
      </w:r>
      <w:r>
        <w:t xml:space="preserve"> daarom</w:t>
      </w:r>
      <w:r w:rsidR="00242FF6">
        <w:t xml:space="preserve"> teruggebracht, en het aantal functies in de regio’s en in landenprogramma’s worden </w:t>
      </w:r>
      <w:r w:rsidR="00CA5E63">
        <w:t>uitgebreid</w:t>
      </w:r>
      <w:r w:rsidR="00242FF6">
        <w:t>, met name door het aantrekken van specialisten. De ILO heeft een nieuw mobiliteitsbeleid ingesteld waardoor het makkelijker wordt om van het hoofdkantoor naar een regio- of landenkantoor te worden overgeplaatst.</w:t>
      </w:r>
      <w:r w:rsidR="00A47DC5">
        <w:t xml:space="preserve"> </w:t>
      </w:r>
      <w:r w:rsidR="00A47DC5" w:rsidRPr="00010C45">
        <w:t xml:space="preserve">Ryder heeft flink wat stappen gezet met hervormingen in het personeelsbeleid: onder andere verbeterde transparantie bij werving en selectie van personeel; een versoberd reisbeleid; en meer aandacht voor presteren en ontwikkeling van het personeel. Ook heeft de DG zijn relaties met de </w:t>
      </w:r>
      <w:r w:rsidR="00A47DC5" w:rsidRPr="00010C45">
        <w:rPr>
          <w:i/>
        </w:rPr>
        <w:t>staff union</w:t>
      </w:r>
      <w:r w:rsidR="00A47DC5" w:rsidRPr="00010C45">
        <w:t xml:space="preserve"> sterk verbeterd.</w:t>
      </w:r>
      <w:r w:rsidR="00242FF6">
        <w:t xml:space="preserve"> </w:t>
      </w:r>
      <w:r w:rsidR="285452C2">
        <w:t xml:space="preserve">In november 2017 zal de Beheersraad het herziene personeelsbeleid in zijn totaliteit bespreken. Aandachtspunten zijn daarbij of de (vooralsnog beperkte) </w:t>
      </w:r>
      <w:r w:rsidR="285452C2" w:rsidRPr="0019197B">
        <w:rPr>
          <w:i/>
        </w:rPr>
        <w:t>incentives</w:t>
      </w:r>
      <w:r w:rsidR="285452C2">
        <w:t xml:space="preserve"> tot geografische mobiliteit effect sorteren, wat het effect zal zijn van de VN-brede verhoging van de </w:t>
      </w:r>
      <w:r w:rsidR="00ED6C2B">
        <w:t>pensioengerechtigde</w:t>
      </w:r>
      <w:r w:rsidR="285452C2">
        <w:t xml:space="preserve"> leeftijd</w:t>
      </w:r>
      <w:r w:rsidR="00ED6C2B">
        <w:t xml:space="preserve"> </w:t>
      </w:r>
      <w:r w:rsidR="285452C2">
        <w:t xml:space="preserve">en of de ILO erin slaagt het aantal verschillende soorten contracten te reduceren. </w:t>
      </w:r>
      <w:r w:rsidR="285452C2" w:rsidRPr="0019197B">
        <w:rPr>
          <w:i/>
        </w:rPr>
        <w:t>Skills development</w:t>
      </w:r>
      <w:r w:rsidR="285452C2">
        <w:t xml:space="preserve"> is ook een aandachtspunt. </w:t>
      </w:r>
      <w:r w:rsidR="00516185">
        <w:t xml:space="preserve">Het </w:t>
      </w:r>
      <w:r w:rsidR="00516185">
        <w:rPr>
          <w:i/>
        </w:rPr>
        <w:t xml:space="preserve">Independent Oversight and Advisory Committee </w:t>
      </w:r>
      <w:r w:rsidR="00516185">
        <w:t xml:space="preserve">(IOAC) stelt in het meest recente rapport dat de ILO in sommige opzichten nog sneller kan hervormen, met name dat </w:t>
      </w:r>
      <w:r w:rsidR="00ED6C2B">
        <w:t>ILO-medewerkers</w:t>
      </w:r>
      <w:r w:rsidR="00516185">
        <w:t xml:space="preserve"> gestimuleerd moeten worden om nieuwe vaardigheden te verwerven die vereist worden door veranderende bedrijfsvoering (bijv. door digitalisering). </w:t>
      </w:r>
    </w:p>
    <w:p w14:paraId="010D3D65" w14:textId="57FF0C91" w:rsidR="007F0923" w:rsidRDefault="007F0923" w:rsidP="00DE343C"/>
    <w:p w14:paraId="6E920C9C" w14:textId="7299AD56" w:rsidR="007F0923" w:rsidRDefault="007F0923" w:rsidP="00DE343C"/>
    <w:p w14:paraId="0C9BB661" w14:textId="67A2B8D0" w:rsidR="007F0923" w:rsidRDefault="007F0923" w:rsidP="00DE343C"/>
    <w:p w14:paraId="6898EBC9" w14:textId="554AD21D" w:rsidR="007F0923" w:rsidRDefault="007F0923" w:rsidP="00DE343C"/>
    <w:p w14:paraId="326B7794" w14:textId="77777777" w:rsidR="007F0923" w:rsidRDefault="007F0923" w:rsidP="00DE343C"/>
    <w:p w14:paraId="0C4FB33C" w14:textId="77777777" w:rsidR="285452C2" w:rsidRDefault="00A47DC5">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2CE55BDA" w14:textId="77777777" w:rsidTr="00B06CE6">
        <w:tc>
          <w:tcPr>
            <w:tcW w:w="6912" w:type="dxa"/>
            <w:tcBorders>
              <w:top w:val="single" w:sz="12" w:space="0" w:color="auto"/>
              <w:left w:val="single" w:sz="12" w:space="0" w:color="auto"/>
              <w:bottom w:val="single" w:sz="12" w:space="0" w:color="auto"/>
            </w:tcBorders>
            <w:shd w:val="clear" w:color="auto" w:fill="D0CECE"/>
          </w:tcPr>
          <w:p w14:paraId="73A818EE" w14:textId="77777777" w:rsidR="002A310E" w:rsidRPr="00EA0AA8" w:rsidRDefault="002A310E" w:rsidP="00382AE3">
            <w:pPr>
              <w:rPr>
                <w:b/>
              </w:rPr>
            </w:pPr>
            <w:r w:rsidRPr="00EA0AA8">
              <w:rPr>
                <w:b/>
              </w:rPr>
              <w:lastRenderedPageBreak/>
              <w:t>Onderdeel</w:t>
            </w:r>
          </w:p>
        </w:tc>
        <w:tc>
          <w:tcPr>
            <w:tcW w:w="955" w:type="dxa"/>
            <w:tcBorders>
              <w:top w:val="single" w:sz="12" w:space="0" w:color="auto"/>
              <w:bottom w:val="single" w:sz="12" w:space="0" w:color="auto"/>
              <w:right w:val="single" w:sz="12" w:space="0" w:color="auto"/>
            </w:tcBorders>
            <w:shd w:val="clear" w:color="auto" w:fill="D0CECE"/>
          </w:tcPr>
          <w:p w14:paraId="5BC98AC4" w14:textId="77777777" w:rsidR="002A310E" w:rsidRPr="00EA0AA8" w:rsidRDefault="002A310E" w:rsidP="00382AE3">
            <w:pPr>
              <w:rPr>
                <w:b/>
              </w:rPr>
            </w:pPr>
            <w:r w:rsidRPr="00EA0AA8">
              <w:rPr>
                <w:b/>
              </w:rPr>
              <w:t>Score</w:t>
            </w:r>
          </w:p>
        </w:tc>
      </w:tr>
      <w:tr w:rsidR="002A310E" w14:paraId="0C43803E" w14:textId="77777777" w:rsidTr="00382AE3">
        <w:tc>
          <w:tcPr>
            <w:tcW w:w="6912" w:type="dxa"/>
            <w:tcBorders>
              <w:top w:val="single" w:sz="12" w:space="0" w:color="auto"/>
              <w:left w:val="single" w:sz="12" w:space="0" w:color="auto"/>
            </w:tcBorders>
            <w:shd w:val="clear" w:color="auto" w:fill="auto"/>
          </w:tcPr>
          <w:p w14:paraId="38984F0B" w14:textId="77777777" w:rsidR="002A310E" w:rsidRDefault="00B52E2F" w:rsidP="00382AE3">
            <w:r>
              <w:t xml:space="preserve">Mobiliteit </w:t>
            </w:r>
          </w:p>
        </w:tc>
        <w:tc>
          <w:tcPr>
            <w:tcW w:w="955" w:type="dxa"/>
            <w:tcBorders>
              <w:top w:val="single" w:sz="12" w:space="0" w:color="auto"/>
              <w:right w:val="single" w:sz="12" w:space="0" w:color="auto"/>
            </w:tcBorders>
            <w:shd w:val="clear" w:color="auto" w:fill="auto"/>
          </w:tcPr>
          <w:p w14:paraId="3C349DD3" w14:textId="77777777" w:rsidR="002A310E" w:rsidRDefault="00010C45" w:rsidP="00382AE3">
            <w:r>
              <w:t>3</w:t>
            </w:r>
          </w:p>
        </w:tc>
      </w:tr>
      <w:tr w:rsidR="002A310E" w14:paraId="7D512632" w14:textId="77777777" w:rsidTr="00382AE3">
        <w:tc>
          <w:tcPr>
            <w:tcW w:w="6912" w:type="dxa"/>
            <w:tcBorders>
              <w:left w:val="single" w:sz="12" w:space="0" w:color="auto"/>
            </w:tcBorders>
            <w:shd w:val="clear" w:color="auto" w:fill="auto"/>
          </w:tcPr>
          <w:p w14:paraId="1042AB5B" w14:textId="77777777" w:rsidR="002A310E" w:rsidRDefault="00B52E2F" w:rsidP="00B52E2F">
            <w:r>
              <w:t xml:space="preserve">Kwaliteit </w:t>
            </w:r>
          </w:p>
        </w:tc>
        <w:tc>
          <w:tcPr>
            <w:tcW w:w="955" w:type="dxa"/>
            <w:tcBorders>
              <w:right w:val="single" w:sz="12" w:space="0" w:color="auto"/>
            </w:tcBorders>
            <w:shd w:val="clear" w:color="auto" w:fill="auto"/>
          </w:tcPr>
          <w:p w14:paraId="24A7ACC7" w14:textId="77777777" w:rsidR="002A310E" w:rsidRDefault="00010C45" w:rsidP="00382AE3">
            <w:r>
              <w:t>3</w:t>
            </w:r>
          </w:p>
        </w:tc>
      </w:tr>
      <w:tr w:rsidR="002A310E" w14:paraId="2A4D5DC0" w14:textId="77777777" w:rsidTr="00382AE3">
        <w:tc>
          <w:tcPr>
            <w:tcW w:w="6912" w:type="dxa"/>
            <w:tcBorders>
              <w:left w:val="single" w:sz="12" w:space="0" w:color="auto"/>
            </w:tcBorders>
            <w:shd w:val="clear" w:color="auto" w:fill="auto"/>
          </w:tcPr>
          <w:p w14:paraId="7D6D6ABF" w14:textId="77777777" w:rsidR="002A310E" w:rsidRDefault="00B52E2F" w:rsidP="00382AE3">
            <w:r>
              <w:t>Diversiteit</w:t>
            </w:r>
          </w:p>
        </w:tc>
        <w:tc>
          <w:tcPr>
            <w:tcW w:w="955" w:type="dxa"/>
            <w:tcBorders>
              <w:right w:val="single" w:sz="12" w:space="0" w:color="auto"/>
            </w:tcBorders>
            <w:shd w:val="clear" w:color="auto" w:fill="auto"/>
          </w:tcPr>
          <w:p w14:paraId="528981B3" w14:textId="77777777" w:rsidR="002A310E" w:rsidRDefault="00010C45" w:rsidP="00382AE3">
            <w:r>
              <w:t>3</w:t>
            </w:r>
          </w:p>
        </w:tc>
      </w:tr>
      <w:tr w:rsidR="002A310E" w14:paraId="2E802D7A" w14:textId="77777777" w:rsidTr="00382AE3">
        <w:tc>
          <w:tcPr>
            <w:tcW w:w="6912" w:type="dxa"/>
            <w:tcBorders>
              <w:left w:val="single" w:sz="12" w:space="0" w:color="auto"/>
              <w:bottom w:val="single" w:sz="12" w:space="0" w:color="auto"/>
            </w:tcBorders>
            <w:shd w:val="clear" w:color="auto" w:fill="auto"/>
          </w:tcPr>
          <w:p w14:paraId="70327167" w14:textId="77777777" w:rsidR="002A310E" w:rsidRDefault="00B52E2F" w:rsidP="00382AE3">
            <w:r>
              <w:t>Genderbalans</w:t>
            </w:r>
          </w:p>
        </w:tc>
        <w:tc>
          <w:tcPr>
            <w:tcW w:w="955" w:type="dxa"/>
            <w:tcBorders>
              <w:bottom w:val="single" w:sz="12" w:space="0" w:color="auto"/>
              <w:right w:val="single" w:sz="12" w:space="0" w:color="auto"/>
            </w:tcBorders>
            <w:shd w:val="clear" w:color="auto" w:fill="auto"/>
          </w:tcPr>
          <w:p w14:paraId="35792EF2" w14:textId="77777777" w:rsidR="002A310E" w:rsidRDefault="00010C45" w:rsidP="00382AE3">
            <w:r>
              <w:t>3</w:t>
            </w:r>
          </w:p>
        </w:tc>
      </w:tr>
      <w:tr w:rsidR="002A310E" w:rsidRPr="00EA0AA8" w14:paraId="354E3E61" w14:textId="77777777" w:rsidTr="00B06CE6">
        <w:tc>
          <w:tcPr>
            <w:tcW w:w="6912" w:type="dxa"/>
            <w:tcBorders>
              <w:top w:val="single" w:sz="12" w:space="0" w:color="auto"/>
              <w:left w:val="single" w:sz="12" w:space="0" w:color="auto"/>
              <w:bottom w:val="single" w:sz="12" w:space="0" w:color="auto"/>
            </w:tcBorders>
            <w:shd w:val="clear" w:color="auto" w:fill="D0CECE"/>
          </w:tcPr>
          <w:p w14:paraId="068A95DA"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56431C8F" w14:textId="77777777" w:rsidR="002A310E" w:rsidRPr="00EA0AA8" w:rsidRDefault="00F67DEF" w:rsidP="00382AE3">
            <w:pPr>
              <w:rPr>
                <w:b/>
              </w:rPr>
            </w:pPr>
            <w:r>
              <w:rPr>
                <w:b/>
              </w:rPr>
              <w:t>3</w:t>
            </w:r>
          </w:p>
        </w:tc>
      </w:tr>
    </w:tbl>
    <w:p w14:paraId="2AAC87F4" w14:textId="77777777" w:rsidR="002A310E" w:rsidRDefault="002A310E" w:rsidP="00326699"/>
    <w:p w14:paraId="6C1930BB" w14:textId="70BF8A61" w:rsidR="00E20A86" w:rsidRDefault="00D32F98" w:rsidP="005A07F5">
      <w:pPr>
        <w:ind w:firstLine="227"/>
      </w:pPr>
      <w:r w:rsidRPr="00193994">
        <w:t>Ver</w:t>
      </w:r>
      <w:r w:rsidR="00F67DEF">
        <w:t xml:space="preserve">andering sinds 2015: </w:t>
      </w:r>
      <w:r>
        <w:t>neutraal</w:t>
      </w:r>
      <w:r w:rsidRPr="00193994">
        <w:t xml:space="preserve"> = </w:t>
      </w:r>
      <w:r w:rsidRPr="00193994">
        <w:sym w:font="Wingdings" w:char="F0E8"/>
      </w:r>
    </w:p>
    <w:p w14:paraId="7F2CA5BE" w14:textId="77777777" w:rsidR="007F0923" w:rsidRPr="007F1496" w:rsidRDefault="007F0923" w:rsidP="005A07F5">
      <w:pPr>
        <w:ind w:firstLine="227"/>
        <w:rPr>
          <w:b/>
        </w:rPr>
      </w:pPr>
    </w:p>
    <w:p w14:paraId="5E1F4CC6" w14:textId="082C809C" w:rsidR="00CD73ED" w:rsidRDefault="009C7D08" w:rsidP="009C7D08">
      <w:pPr>
        <w:pStyle w:val="Heading2"/>
        <w:tabs>
          <w:tab w:val="left" w:pos="-1162"/>
          <w:tab w:val="left" w:pos="0"/>
          <w:tab w:val="num" w:pos="1160"/>
        </w:tabs>
        <w:spacing w:line="240" w:lineRule="auto"/>
        <w:ind w:hanging="1162"/>
      </w:pPr>
      <w:bookmarkStart w:id="39" w:name="_Toc490833566"/>
      <w:r>
        <w:t>4</w:t>
      </w:r>
      <w:r w:rsidR="00326699">
        <w:t>.</w:t>
      </w:r>
      <w:r w:rsidR="00A74DEC">
        <w:t>7</w:t>
      </w:r>
      <w:r w:rsidR="004D372F" w:rsidRPr="004D372F">
        <w:t xml:space="preserve"> </w:t>
      </w:r>
      <w:r w:rsidR="004D372F">
        <w:tab/>
      </w:r>
      <w:r w:rsidR="00DE343C" w:rsidRPr="004D372F">
        <w:t xml:space="preserve">Financiële </w:t>
      </w:r>
      <w:r w:rsidR="00DB7D94">
        <w:t>stabiliteit</w:t>
      </w:r>
      <w:bookmarkEnd w:id="39"/>
    </w:p>
    <w:p w14:paraId="4D7DB935" w14:textId="3655BAAE" w:rsidR="00156765" w:rsidRPr="00761CFE" w:rsidRDefault="00385ADB" w:rsidP="00156765">
      <w:r w:rsidRPr="00B67E59">
        <w:t>De begroting van 2016-2017</w:t>
      </w:r>
      <w:r w:rsidR="00156765" w:rsidRPr="00B67E59">
        <w:t xml:space="preserve"> bedraagt USD 801 miljoen uit de verplichte bij</w:t>
      </w:r>
      <w:r w:rsidRPr="00B67E59">
        <w:t xml:space="preserve">dragen. </w:t>
      </w:r>
      <w:r w:rsidRPr="00036FE3">
        <w:t>Daarnaast werd voor 2016-2017</w:t>
      </w:r>
      <w:r w:rsidR="00036FE3" w:rsidRPr="00036FE3">
        <w:t xml:space="preserve"> ook voor USD 410</w:t>
      </w:r>
      <w:r w:rsidR="00156765" w:rsidRPr="00036FE3">
        <w:t xml:space="preserve"> miljoen aan inkomsten voor het XBTC voorzien</w:t>
      </w:r>
      <w:r w:rsidR="006711B1">
        <w:t xml:space="preserve"> </w:t>
      </w:r>
      <w:r w:rsidR="00156765" w:rsidRPr="00036FE3">
        <w:t>(vrijwillige geoormerkte bijdragen voor ontwikkelingsactiviteiten). Ten slotte is er het RBSA waarmee vrijwillige ongeoormerkte bijdragen op strategische manier worden inge</w:t>
      </w:r>
      <w:r w:rsidR="00036FE3" w:rsidRPr="00036FE3">
        <w:t xml:space="preserve">zet. Deze </w:t>
      </w:r>
      <w:r w:rsidR="00245058">
        <w:t>is</w:t>
      </w:r>
      <w:r w:rsidR="00245058" w:rsidRPr="00036FE3">
        <w:t xml:space="preserve"> </w:t>
      </w:r>
      <w:r w:rsidR="00ED6C2B">
        <w:t>gebudgetteerd</w:t>
      </w:r>
      <w:r w:rsidR="00245058">
        <w:t xml:space="preserve"> </w:t>
      </w:r>
      <w:r w:rsidR="00036FE3" w:rsidRPr="00036FE3">
        <w:t>USD 35 miljoen voor 2016-2017</w:t>
      </w:r>
      <w:r w:rsidR="00156765" w:rsidRPr="00036FE3">
        <w:t>.</w:t>
      </w:r>
      <w:r w:rsidR="006711B1">
        <w:t xml:space="preserve"> </w:t>
      </w:r>
      <w:r w:rsidR="00156765" w:rsidRPr="00F24E43">
        <w:t xml:space="preserve">De hoogte van de geoormerkte bijdragen (XBTC) is </w:t>
      </w:r>
      <w:r w:rsidR="00156765">
        <w:t xml:space="preserve">goed </w:t>
      </w:r>
      <w:r w:rsidR="00156765" w:rsidRPr="00F24E43">
        <w:t xml:space="preserve">in verhouding tot de verplichte bijdragen (regulier budget). Het aantal donoren dat vrijwillige ongeoormerkte bijdragen geeft zou echter uitgebreid kunnen worden om de organisatie toe te staan middelen nog effectiever en efficiënter in te zetten. </w:t>
      </w:r>
      <w:r w:rsidR="285452C2" w:rsidRPr="00F24E43">
        <w:t xml:space="preserve">Het lidmaatschap van de </w:t>
      </w:r>
      <w:r w:rsidR="285452C2" w:rsidRPr="285452C2">
        <w:rPr>
          <w:i/>
          <w:iCs/>
        </w:rPr>
        <w:t>like-minded donor group</w:t>
      </w:r>
      <w:r w:rsidR="285452C2" w:rsidRPr="285452C2">
        <w:t>, de landen die aan het RBSA bijdragen, is al jaren stabiel. Wel is Luxemburg recent tot dit gezelschap toegetreden en lijkt er interesse vanuit Finland en Ierland om ook ongeoormerkt</w:t>
      </w:r>
      <w:r w:rsidR="006711B1">
        <w:t xml:space="preserve"> geld</w:t>
      </w:r>
      <w:r w:rsidR="285452C2" w:rsidRPr="285452C2">
        <w:t xml:space="preserve"> aan de ILO bij te dragen.</w:t>
      </w:r>
      <w:r w:rsidR="00ED6C2B">
        <w:t xml:space="preserve"> </w:t>
      </w:r>
      <w:r w:rsidR="285452C2" w:rsidRPr="00F24E43">
        <w:t xml:space="preserve"> </w:t>
      </w:r>
    </w:p>
    <w:p w14:paraId="0C9A8637" w14:textId="77777777" w:rsidR="00156765" w:rsidRPr="00761CFE" w:rsidRDefault="00156765" w:rsidP="00156765"/>
    <w:p w14:paraId="1AD5FD01" w14:textId="77777777" w:rsidR="00156765" w:rsidRPr="00761CFE" w:rsidRDefault="00156765" w:rsidP="00156765">
      <w:pPr>
        <w:rPr>
          <w:color w:val="FF0000"/>
        </w:rPr>
      </w:pPr>
      <w:r>
        <w:t>V</w:t>
      </w:r>
      <w:r w:rsidRPr="00F24E43">
        <w:t xml:space="preserve">erplichte bijdragen worden </w:t>
      </w:r>
      <w:r>
        <w:t>doorgaans</w:t>
      </w:r>
      <w:r w:rsidRPr="00F24E43">
        <w:t xml:space="preserve"> tijdig voldaan, mede dankzij het </w:t>
      </w:r>
      <w:r w:rsidRPr="002E6DE8">
        <w:rPr>
          <w:i/>
        </w:rPr>
        <w:t>incentive scheme</w:t>
      </w:r>
      <w:r w:rsidRPr="00F24E43">
        <w:t xml:space="preserve"> waarbij lidstaten financieel beloond worden om snel de bijdrage over te maken. Het aantal chronische betalingsachterstanden is </w:t>
      </w:r>
      <w:r>
        <w:t xml:space="preserve">van </w:t>
      </w:r>
      <w:r w:rsidRPr="00F24E43">
        <w:t xml:space="preserve">beperkte omvang. </w:t>
      </w:r>
      <w:r>
        <w:t>Het stemrecht bij de ILC wordt ingetrokken bij een chronische betalingsachterstand.</w:t>
      </w:r>
    </w:p>
    <w:p w14:paraId="08317D6D" w14:textId="77777777" w:rsidR="00156765" w:rsidRPr="00156765" w:rsidRDefault="00156765" w:rsidP="00156765">
      <w:pPr>
        <w:rPr>
          <w:color w:val="5B9BD5"/>
        </w:rPr>
      </w:pPr>
    </w:p>
    <w:p w14:paraId="5AD40B05" w14:textId="4BC8DB2F" w:rsidR="00156765" w:rsidRDefault="00156765" w:rsidP="00156765">
      <w:r>
        <w:t xml:space="preserve">De </w:t>
      </w:r>
      <w:r w:rsidRPr="00C00B44">
        <w:t xml:space="preserve">ILO </w:t>
      </w:r>
      <w:r>
        <w:t>streeft</w:t>
      </w:r>
      <w:r w:rsidRPr="00C00B44">
        <w:t xml:space="preserve"> naar </w:t>
      </w:r>
      <w:r w:rsidRPr="00C00B44">
        <w:rPr>
          <w:i/>
        </w:rPr>
        <w:t>full cost recovery</w:t>
      </w:r>
      <w:r>
        <w:rPr>
          <w:i/>
        </w:rPr>
        <w:t xml:space="preserve"> </w:t>
      </w:r>
      <w:r w:rsidRPr="00C00B44">
        <w:t>(</w:t>
      </w:r>
      <w:r>
        <w:t xml:space="preserve">het volledig meefinancieren van </w:t>
      </w:r>
      <w:r w:rsidRPr="00C00B44">
        <w:t xml:space="preserve">niet-programmakosten door donoren in </w:t>
      </w:r>
      <w:r>
        <w:t xml:space="preserve">de </w:t>
      </w:r>
      <w:r w:rsidRPr="00C00B44">
        <w:t xml:space="preserve">projectfinanciering). </w:t>
      </w:r>
      <w:r w:rsidRPr="00E26532">
        <w:t>De percentages administratieve kosten die worden gereserveerd zijn 7% voor ongeoormerkte vrijwillige bijdragen (aan RBSA) en 13% voor geoormerkte bijdragen (XBTC).</w:t>
      </w:r>
      <w:r>
        <w:t xml:space="preserve"> </w:t>
      </w:r>
      <w:r w:rsidRPr="00C00B44">
        <w:t>Het financieel beheer en de administratieve organisatie zijn van goede kwaliteit en de ILO heeft een gedegen structuur van toezicht, controle en verantwoording. Deze</w:t>
      </w:r>
      <w:r>
        <w:t xml:space="preserve"> </w:t>
      </w:r>
      <w:r w:rsidRPr="00C00B44">
        <w:t xml:space="preserve">bestaat uit de interne </w:t>
      </w:r>
      <w:r>
        <w:t>auditor</w:t>
      </w:r>
      <w:r w:rsidRPr="00C00B44">
        <w:t xml:space="preserve">, de externe </w:t>
      </w:r>
      <w:r>
        <w:t xml:space="preserve">auditor </w:t>
      </w:r>
      <w:r w:rsidRPr="00C00B44">
        <w:t xml:space="preserve">en de onafhankelijke </w:t>
      </w:r>
      <w:r w:rsidRPr="00C00B44">
        <w:rPr>
          <w:i/>
        </w:rPr>
        <w:t>Independent Oversight</w:t>
      </w:r>
      <w:r>
        <w:rPr>
          <w:i/>
        </w:rPr>
        <w:t xml:space="preserve"> </w:t>
      </w:r>
      <w:r w:rsidRPr="00C00B44">
        <w:rPr>
          <w:i/>
        </w:rPr>
        <w:t>Advisory</w:t>
      </w:r>
      <w:r>
        <w:rPr>
          <w:i/>
        </w:rPr>
        <w:t xml:space="preserve"> </w:t>
      </w:r>
      <w:r w:rsidRPr="00C00B44">
        <w:rPr>
          <w:i/>
        </w:rPr>
        <w:t>Committee</w:t>
      </w:r>
      <w:r w:rsidRPr="0072644C">
        <w:t xml:space="preserve"> (IOAC)</w:t>
      </w:r>
      <w:r w:rsidRPr="00C00B44">
        <w:t>. Hun rapporten worden jaarlijks aan de Beheersraad voorgelegd en zijn van goede kwaliteit.</w:t>
      </w:r>
      <w:r>
        <w:t xml:space="preserve"> </w:t>
      </w:r>
      <w:r w:rsidR="00865838">
        <w:t xml:space="preserve">De externe en interne </w:t>
      </w:r>
      <w:r w:rsidR="00ED6C2B">
        <w:t>auditfunctie</w:t>
      </w:r>
      <w:r w:rsidR="00865838">
        <w:t xml:space="preserve"> zijn volledig conform internationale standaarden, en er zijn heldere richtlijnen </w:t>
      </w:r>
      <w:r w:rsidR="00FB32A8">
        <w:t xml:space="preserve">voor </w:t>
      </w:r>
      <w:r w:rsidR="00865838">
        <w:t xml:space="preserve">het gebruik van de interne audit controllers. </w:t>
      </w:r>
      <w:r>
        <w:t xml:space="preserve">De externe auditor geeft al jaren een </w:t>
      </w:r>
      <w:r w:rsidRPr="000A4D8F">
        <w:t>‘</w:t>
      </w:r>
      <w:r w:rsidRPr="0072644C">
        <w:rPr>
          <w:i/>
        </w:rPr>
        <w:t>unqualified opinion’</w:t>
      </w:r>
      <w:r>
        <w:t xml:space="preserve"> over de financiële verklaringen (de statements zijn in orde).</w:t>
      </w:r>
      <w:r w:rsidR="00FB32A8">
        <w:t xml:space="preserve"> </w:t>
      </w:r>
      <w:r w:rsidR="00414B35">
        <w:t xml:space="preserve">Er wordt door ILO goede voortgang gemaakt in de opvolging van aanbevelingen. </w:t>
      </w:r>
    </w:p>
    <w:p w14:paraId="729A700E" w14:textId="77777777" w:rsidR="00156765" w:rsidRDefault="00156765" w:rsidP="00156765"/>
    <w:p w14:paraId="4AB39896" w14:textId="59B00CB6" w:rsidR="00156765" w:rsidRDefault="003F24FC" w:rsidP="00CD73ED">
      <w:r>
        <w:t xml:space="preserve">Er </w:t>
      </w:r>
      <w:r w:rsidR="00865838">
        <w:t xml:space="preserve">werden geen bijzonderheden gemeld in het laatste rapport van de </w:t>
      </w:r>
      <w:r w:rsidR="00865838">
        <w:rPr>
          <w:i/>
        </w:rPr>
        <w:t>Independent Oversight and Advisory Committee</w:t>
      </w:r>
      <w:r w:rsidR="00865838">
        <w:t xml:space="preserve"> (IOAC). De ILO heeft afdoende veranderingen in het accountingbeleid geïmplementeerd, en het blijft daarnaast goede opvolging geven aan de aanbeveling om de financiële verklaringen duidelijker en toegankelijker te maken. De IOAC stelt wel dat de Office een kort </w:t>
      </w:r>
      <w:r w:rsidR="00865838">
        <w:rPr>
          <w:i/>
        </w:rPr>
        <w:t>narrative</w:t>
      </w:r>
      <w:r w:rsidR="00865838">
        <w:t xml:space="preserve"> zou kunnen geven rondom de centrale boodschappen van de verklaring om deze nog begrijpelijker te maken voor verschillende </w:t>
      </w:r>
      <w:r w:rsidR="00ED6C2B">
        <w:t>stakeholders.</w:t>
      </w:r>
      <w:r w:rsidR="00D97DDC" w:rsidRPr="00994102">
        <w:t xml:space="preserve"> </w:t>
      </w:r>
      <w:r w:rsidR="00865838">
        <w:t xml:space="preserve">Een aandachtspunt in de komende jaren moet liggen op de herverdeling van financiële activa in het investeringsportfolio van de ILO. </w:t>
      </w:r>
    </w:p>
    <w:p w14:paraId="47A00486" w14:textId="47510625" w:rsidR="00CC1E51" w:rsidRDefault="00CC1E51" w:rsidP="00CD73ED"/>
    <w:p w14:paraId="5ED4C8C4" w14:textId="3428D59A" w:rsidR="00942627" w:rsidRDefault="00CC1E51">
      <w:r>
        <w:t xml:space="preserve">De samenhang tussen inhoudelijke en financiële rapportages is voldoende, maar omdat de organisatie bezig is met implementatie van </w:t>
      </w:r>
      <w:r w:rsidRPr="00AA35C4">
        <w:rPr>
          <w:i/>
        </w:rPr>
        <w:t>results based budgetting</w:t>
      </w:r>
      <w:r>
        <w:t xml:space="preserve"> kan het nog beter. In sommige gevallen is de inhoudelijke rapportage wel gestructureerd rondom resultaatsgebieden terwijl het financiële deel nog is opgehangen aan activite</w:t>
      </w:r>
      <w:r w:rsidR="007F0923">
        <w:t>iten.</w:t>
      </w:r>
    </w:p>
    <w:p w14:paraId="1D9756A7" w14:textId="77777777" w:rsidR="007F0923" w:rsidRDefault="007F09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716984E1" w14:textId="77777777" w:rsidTr="00F45B36">
        <w:tc>
          <w:tcPr>
            <w:tcW w:w="6748" w:type="dxa"/>
            <w:tcBorders>
              <w:top w:val="single" w:sz="12" w:space="0" w:color="auto"/>
              <w:left w:val="single" w:sz="12" w:space="0" w:color="auto"/>
              <w:bottom w:val="single" w:sz="12" w:space="0" w:color="auto"/>
            </w:tcBorders>
            <w:shd w:val="clear" w:color="auto" w:fill="D0CECE"/>
          </w:tcPr>
          <w:p w14:paraId="3F3972D0" w14:textId="6D2C7D6E" w:rsidR="002A310E" w:rsidRPr="00EA0AA8" w:rsidRDefault="002A310E" w:rsidP="00382AE3">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0CECE"/>
          </w:tcPr>
          <w:p w14:paraId="092A35FE" w14:textId="77777777" w:rsidR="002A310E" w:rsidRPr="00EA0AA8" w:rsidRDefault="002A310E" w:rsidP="00382AE3">
            <w:pPr>
              <w:rPr>
                <w:b/>
              </w:rPr>
            </w:pPr>
            <w:r w:rsidRPr="00EA0AA8">
              <w:rPr>
                <w:b/>
              </w:rPr>
              <w:t>Score</w:t>
            </w:r>
          </w:p>
        </w:tc>
      </w:tr>
      <w:tr w:rsidR="002A310E" w14:paraId="3D5C9980" w14:textId="77777777" w:rsidTr="00F45B36">
        <w:tc>
          <w:tcPr>
            <w:tcW w:w="6748" w:type="dxa"/>
            <w:tcBorders>
              <w:top w:val="single" w:sz="12" w:space="0" w:color="auto"/>
              <w:left w:val="single" w:sz="12" w:space="0" w:color="auto"/>
            </w:tcBorders>
            <w:shd w:val="clear" w:color="auto" w:fill="auto"/>
          </w:tcPr>
          <w:p w14:paraId="33253698" w14:textId="77777777" w:rsidR="002A310E" w:rsidRDefault="00927293" w:rsidP="00927293">
            <w:r>
              <w:t>Verhouding goedgekeurde begroting / ontvangen bijdragen</w:t>
            </w:r>
          </w:p>
        </w:tc>
        <w:tc>
          <w:tcPr>
            <w:tcW w:w="949" w:type="dxa"/>
            <w:tcBorders>
              <w:top w:val="single" w:sz="12" w:space="0" w:color="auto"/>
              <w:right w:val="single" w:sz="12" w:space="0" w:color="auto"/>
            </w:tcBorders>
            <w:shd w:val="clear" w:color="auto" w:fill="auto"/>
          </w:tcPr>
          <w:p w14:paraId="50978573" w14:textId="77777777" w:rsidR="002A310E" w:rsidRDefault="0063594B" w:rsidP="00382AE3">
            <w:r>
              <w:t>3</w:t>
            </w:r>
          </w:p>
        </w:tc>
      </w:tr>
      <w:tr w:rsidR="002A310E" w14:paraId="1DD8F584" w14:textId="77777777" w:rsidTr="00F45B36">
        <w:tc>
          <w:tcPr>
            <w:tcW w:w="6748" w:type="dxa"/>
            <w:tcBorders>
              <w:left w:val="single" w:sz="12" w:space="0" w:color="auto"/>
            </w:tcBorders>
            <w:shd w:val="clear" w:color="auto" w:fill="auto"/>
          </w:tcPr>
          <w:p w14:paraId="7F5727C2" w14:textId="77777777" w:rsidR="002A310E" w:rsidRDefault="00927293" w:rsidP="00382AE3">
            <w:r>
              <w:t>Liquiditeitspositie en/of solvabiliteitspositie</w:t>
            </w:r>
          </w:p>
        </w:tc>
        <w:tc>
          <w:tcPr>
            <w:tcW w:w="949" w:type="dxa"/>
            <w:tcBorders>
              <w:right w:val="single" w:sz="12" w:space="0" w:color="auto"/>
            </w:tcBorders>
            <w:shd w:val="clear" w:color="auto" w:fill="auto"/>
          </w:tcPr>
          <w:p w14:paraId="6DF63A6E" w14:textId="77777777" w:rsidR="002A310E" w:rsidRDefault="0063594B" w:rsidP="00382AE3">
            <w:r>
              <w:t>3</w:t>
            </w:r>
          </w:p>
        </w:tc>
      </w:tr>
      <w:tr w:rsidR="002A310E" w14:paraId="590287D4" w14:textId="77777777" w:rsidTr="00F45B36">
        <w:tc>
          <w:tcPr>
            <w:tcW w:w="6748" w:type="dxa"/>
            <w:tcBorders>
              <w:left w:val="single" w:sz="12" w:space="0" w:color="auto"/>
            </w:tcBorders>
            <w:shd w:val="clear" w:color="auto" w:fill="auto"/>
          </w:tcPr>
          <w:p w14:paraId="1357A9C8" w14:textId="77777777" w:rsidR="002A310E" w:rsidRDefault="00927293" w:rsidP="00382AE3">
            <w:r>
              <w:t>Interne auditfunctie</w:t>
            </w:r>
          </w:p>
        </w:tc>
        <w:tc>
          <w:tcPr>
            <w:tcW w:w="949" w:type="dxa"/>
            <w:tcBorders>
              <w:right w:val="single" w:sz="12" w:space="0" w:color="auto"/>
            </w:tcBorders>
            <w:shd w:val="clear" w:color="auto" w:fill="auto"/>
          </w:tcPr>
          <w:p w14:paraId="60793A51" w14:textId="77777777" w:rsidR="002A310E" w:rsidRDefault="0063594B" w:rsidP="00382AE3">
            <w:r>
              <w:t>4</w:t>
            </w:r>
          </w:p>
        </w:tc>
      </w:tr>
      <w:tr w:rsidR="00927293" w14:paraId="01AE70C0" w14:textId="77777777" w:rsidTr="00F45B36">
        <w:tc>
          <w:tcPr>
            <w:tcW w:w="6748" w:type="dxa"/>
            <w:tcBorders>
              <w:left w:val="single" w:sz="12" w:space="0" w:color="auto"/>
            </w:tcBorders>
            <w:shd w:val="clear" w:color="auto" w:fill="auto"/>
          </w:tcPr>
          <w:p w14:paraId="552B20CC" w14:textId="77777777" w:rsidR="00927293" w:rsidRDefault="00927293" w:rsidP="00382AE3">
            <w:r>
              <w:t>Kwaliteit rapportages</w:t>
            </w:r>
          </w:p>
        </w:tc>
        <w:tc>
          <w:tcPr>
            <w:tcW w:w="949" w:type="dxa"/>
            <w:tcBorders>
              <w:right w:val="single" w:sz="12" w:space="0" w:color="auto"/>
            </w:tcBorders>
            <w:shd w:val="clear" w:color="auto" w:fill="auto"/>
          </w:tcPr>
          <w:p w14:paraId="64594196" w14:textId="77777777" w:rsidR="00927293" w:rsidRDefault="0063594B" w:rsidP="00382AE3">
            <w:r>
              <w:t>3</w:t>
            </w:r>
          </w:p>
        </w:tc>
      </w:tr>
      <w:tr w:rsidR="00927293" w14:paraId="1EE79644" w14:textId="77777777" w:rsidTr="00F45B36">
        <w:tc>
          <w:tcPr>
            <w:tcW w:w="6748" w:type="dxa"/>
            <w:tcBorders>
              <w:left w:val="single" w:sz="12" w:space="0" w:color="auto"/>
            </w:tcBorders>
            <w:shd w:val="clear" w:color="auto" w:fill="auto"/>
          </w:tcPr>
          <w:p w14:paraId="456D27CA" w14:textId="77777777" w:rsidR="00927293" w:rsidRDefault="00927293" w:rsidP="00382AE3">
            <w:r>
              <w:t>Samenhang tussen inhoudelijke en financiële rapportages</w:t>
            </w:r>
          </w:p>
        </w:tc>
        <w:tc>
          <w:tcPr>
            <w:tcW w:w="949" w:type="dxa"/>
            <w:tcBorders>
              <w:right w:val="single" w:sz="12" w:space="0" w:color="auto"/>
            </w:tcBorders>
            <w:shd w:val="clear" w:color="auto" w:fill="auto"/>
          </w:tcPr>
          <w:p w14:paraId="225938B6" w14:textId="77777777" w:rsidR="00927293" w:rsidRDefault="0063594B" w:rsidP="00382AE3">
            <w:r>
              <w:t>3</w:t>
            </w:r>
          </w:p>
        </w:tc>
      </w:tr>
      <w:tr w:rsidR="002A310E" w:rsidRPr="00EA0AA8" w14:paraId="23C4BD6B" w14:textId="77777777" w:rsidTr="00F45B36">
        <w:tc>
          <w:tcPr>
            <w:tcW w:w="6748" w:type="dxa"/>
            <w:tcBorders>
              <w:top w:val="single" w:sz="12" w:space="0" w:color="auto"/>
              <w:left w:val="single" w:sz="12" w:space="0" w:color="auto"/>
              <w:bottom w:val="single" w:sz="12" w:space="0" w:color="auto"/>
            </w:tcBorders>
            <w:shd w:val="clear" w:color="auto" w:fill="D0CECE"/>
          </w:tcPr>
          <w:p w14:paraId="550CB67B" w14:textId="77777777" w:rsidR="002A310E" w:rsidRPr="00EA0AA8" w:rsidRDefault="002A310E" w:rsidP="00382AE3">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6B597EB1" w14:textId="77777777" w:rsidR="002A310E" w:rsidRPr="00EA0AA8" w:rsidRDefault="0063594B" w:rsidP="00382AE3">
            <w:pPr>
              <w:rPr>
                <w:b/>
              </w:rPr>
            </w:pPr>
            <w:r>
              <w:rPr>
                <w:b/>
              </w:rPr>
              <w:t>3</w:t>
            </w:r>
          </w:p>
        </w:tc>
      </w:tr>
    </w:tbl>
    <w:p w14:paraId="5732E72B" w14:textId="77777777" w:rsidR="002A310E" w:rsidRDefault="002A310E" w:rsidP="00DE343C"/>
    <w:p w14:paraId="20368280" w14:textId="690F7804" w:rsidR="00927293" w:rsidRDefault="00D32F98" w:rsidP="005A07F5">
      <w:pPr>
        <w:ind w:firstLine="227"/>
      </w:pPr>
      <w:r w:rsidRPr="00193994">
        <w:t>Ver</w:t>
      </w:r>
      <w:r>
        <w:t>andering sinds 2015: neutraal</w:t>
      </w:r>
      <w:r w:rsidRPr="00193994">
        <w:t xml:space="preserve"> = </w:t>
      </w:r>
      <w:r w:rsidRPr="00193994">
        <w:sym w:font="Wingdings" w:char="F0E8"/>
      </w:r>
    </w:p>
    <w:p w14:paraId="117C2FB6" w14:textId="77777777" w:rsidR="007F0923" w:rsidRPr="00C7655C" w:rsidRDefault="007F0923" w:rsidP="005A07F5">
      <w:pPr>
        <w:ind w:firstLine="227"/>
        <w:rPr>
          <w:b/>
        </w:rPr>
      </w:pPr>
    </w:p>
    <w:p w14:paraId="1588CC28" w14:textId="0359238F" w:rsidR="00EB5148" w:rsidRDefault="009C7D08" w:rsidP="009C7D08">
      <w:pPr>
        <w:pStyle w:val="Heading2"/>
        <w:tabs>
          <w:tab w:val="left" w:pos="-1162"/>
          <w:tab w:val="left" w:pos="0"/>
          <w:tab w:val="num" w:pos="1160"/>
        </w:tabs>
        <w:spacing w:line="240" w:lineRule="auto"/>
        <w:ind w:hanging="1162"/>
      </w:pPr>
      <w:bookmarkStart w:id="40" w:name="_Toc490833567"/>
      <w:r>
        <w:t>4</w:t>
      </w:r>
      <w:r w:rsidR="00382AE3">
        <w:t>.8</w:t>
      </w:r>
      <w:r w:rsidR="00382AE3" w:rsidRPr="004D372F">
        <w:t xml:space="preserve"> </w:t>
      </w:r>
      <w:r w:rsidR="00382AE3">
        <w:tab/>
      </w:r>
      <w:r w:rsidR="006D1874">
        <w:t>Kosten</w:t>
      </w:r>
      <w:r w:rsidR="00E727EE">
        <w:t>reductie</w:t>
      </w:r>
      <w:bookmarkEnd w:id="40"/>
    </w:p>
    <w:p w14:paraId="0E4BD18F" w14:textId="18F6F831" w:rsidR="00EB5148" w:rsidRDefault="00DF1356" w:rsidP="00A13499">
      <w:r>
        <w:t xml:space="preserve">Het verbeteren van efficiëntie is de grootste uitdaging voor de </w:t>
      </w:r>
      <w:r w:rsidR="0062056A">
        <w:t xml:space="preserve">ILO. </w:t>
      </w:r>
      <w:r w:rsidR="00CC1E51">
        <w:t>H</w:t>
      </w:r>
      <w:r>
        <w:t>et MOPAN</w:t>
      </w:r>
      <w:r w:rsidR="00872125">
        <w:t>-</w:t>
      </w:r>
      <w:r>
        <w:t xml:space="preserve">onderzoek stelt dat de meeste resultaten en </w:t>
      </w:r>
      <w:r w:rsidR="00872125">
        <w:t>activiteiten</w:t>
      </w:r>
      <w:r>
        <w:t xml:space="preserve"> niet op tijd worden behaald. </w:t>
      </w:r>
      <w:r w:rsidR="00AC6EB1">
        <w:t xml:space="preserve">Het ontbreken van concrete data over bijvoorbeeld vertraging van projecten vormt een groot obstakel voor verbetering. De </w:t>
      </w:r>
      <w:r w:rsidR="00ED6C2B">
        <w:t>enquête</w:t>
      </w:r>
      <w:r w:rsidR="0010586C">
        <w:t xml:space="preserve"> </w:t>
      </w:r>
      <w:r w:rsidR="00AC6EB1">
        <w:t>die is uitgevoerd voor de MOPAN-rapportage liet zien</w:t>
      </w:r>
      <w:r w:rsidR="0010586C">
        <w:t xml:space="preserve"> dat de meeste ILO-medewerkers de ILO als te langzaam, bureaucratisch en log beschouwden</w:t>
      </w:r>
      <w:r w:rsidR="00EB5148">
        <w:t xml:space="preserve">. </w:t>
      </w:r>
    </w:p>
    <w:p w14:paraId="7FA8FA06" w14:textId="77777777" w:rsidR="00EB5148" w:rsidRDefault="00EB5148" w:rsidP="00A13499"/>
    <w:p w14:paraId="115C0172" w14:textId="77777777" w:rsidR="00D070F2" w:rsidRDefault="009D677D" w:rsidP="00A13499">
      <w:r>
        <w:t xml:space="preserve">DG Ryder begon met hervormingen binnen de ILO in 2012, met name om overhead op hoofdkantoorniveau terug te dringen en meer middelen in te zetten in programma’s op regionaal en landenniveau. Het </w:t>
      </w:r>
      <w:r w:rsidR="00ED6C2B">
        <w:t>MOPAN-rapport</w:t>
      </w:r>
      <w:r>
        <w:t xml:space="preserve"> </w:t>
      </w:r>
      <w:r w:rsidR="00ED6C2B">
        <w:t>constate</w:t>
      </w:r>
      <w:r w:rsidR="00AC6EB1">
        <w:t>ert dat de effecten van deze hervormingen nog onvoldoende zichtbaar zijn in de praktijk</w:t>
      </w:r>
      <w:r w:rsidR="00546431">
        <w:t xml:space="preserve"> om al conclusies te trekken</w:t>
      </w:r>
      <w:r w:rsidR="00E727EE">
        <w:t xml:space="preserve">. </w:t>
      </w:r>
    </w:p>
    <w:p w14:paraId="3765E3FE" w14:textId="77777777" w:rsidR="00D070F2" w:rsidRDefault="00D070F2" w:rsidP="00A13499"/>
    <w:p w14:paraId="1DC2520A" w14:textId="6BBC71C8" w:rsidR="00EB5148" w:rsidRDefault="000C3F27" w:rsidP="00A13499">
      <w:r>
        <w:t>ILO</w:t>
      </w:r>
      <w:r w:rsidRPr="000C3F27">
        <w:t xml:space="preserve"> volgt het algemene VN-beleid wat betreft salarissen en secundaire arbeidsvoorwaarden. </w:t>
      </w:r>
      <w:r>
        <w:t>(</w:t>
      </w:r>
      <w:r w:rsidRPr="000C3F27">
        <w:t>Dit wordt in de vijfde commissie vastgesteld.</w:t>
      </w:r>
      <w:r>
        <w:t>)</w:t>
      </w:r>
      <w:r w:rsidRPr="000C3F27">
        <w:t xml:space="preserve"> </w:t>
      </w:r>
      <w:r w:rsidR="00E54751">
        <w:t xml:space="preserve">Daarnaast </w:t>
      </w:r>
      <w:r w:rsidR="00CA5EDB">
        <w:rPr>
          <w:rStyle w:val="normaltextrun"/>
          <w:rFonts w:cs="Segoe UI"/>
          <w:szCs w:val="18"/>
        </w:rPr>
        <w:t>volgt ILO het algemene VN-beleid wat betreft salarissen en secundaire arbeidsvoorwaarden. Dit wordt in de vijfde commissie vastgesteld.</w:t>
      </w:r>
    </w:p>
    <w:p w14:paraId="34032066" w14:textId="77777777" w:rsidR="285452C2" w:rsidRDefault="285452C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382AE3" w:rsidRPr="00EA0AA8" w14:paraId="227D1B2D" w14:textId="77777777" w:rsidTr="00B06CE6">
        <w:tc>
          <w:tcPr>
            <w:tcW w:w="6912" w:type="dxa"/>
            <w:tcBorders>
              <w:top w:val="single" w:sz="12" w:space="0" w:color="auto"/>
              <w:left w:val="single" w:sz="12" w:space="0" w:color="auto"/>
              <w:bottom w:val="single" w:sz="12" w:space="0" w:color="auto"/>
            </w:tcBorders>
            <w:shd w:val="clear" w:color="auto" w:fill="D0CECE"/>
          </w:tcPr>
          <w:p w14:paraId="1DA83B4C" w14:textId="77777777" w:rsidR="00382AE3" w:rsidRPr="00EA0AA8" w:rsidRDefault="00382AE3"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59F41430" w14:textId="77777777" w:rsidR="00382AE3" w:rsidRPr="00EA0AA8" w:rsidRDefault="00382AE3" w:rsidP="00382AE3">
            <w:pPr>
              <w:rPr>
                <w:b/>
              </w:rPr>
            </w:pPr>
            <w:r w:rsidRPr="00EA0AA8">
              <w:rPr>
                <w:b/>
              </w:rPr>
              <w:t>Score</w:t>
            </w:r>
          </w:p>
        </w:tc>
      </w:tr>
      <w:tr w:rsidR="00382AE3" w14:paraId="28CEB90F" w14:textId="77777777" w:rsidTr="00382AE3">
        <w:tc>
          <w:tcPr>
            <w:tcW w:w="6912" w:type="dxa"/>
            <w:tcBorders>
              <w:top w:val="single" w:sz="12" w:space="0" w:color="auto"/>
              <w:left w:val="single" w:sz="12" w:space="0" w:color="auto"/>
            </w:tcBorders>
            <w:shd w:val="clear" w:color="auto" w:fill="auto"/>
          </w:tcPr>
          <w:p w14:paraId="0C03E5DE" w14:textId="77777777" w:rsidR="00382AE3" w:rsidRDefault="002568BC" w:rsidP="00382AE3">
            <w:r>
              <w:t>Verhouding programma-uitgaven/overhead</w:t>
            </w:r>
          </w:p>
        </w:tc>
        <w:tc>
          <w:tcPr>
            <w:tcW w:w="955" w:type="dxa"/>
            <w:tcBorders>
              <w:top w:val="single" w:sz="12" w:space="0" w:color="auto"/>
              <w:right w:val="single" w:sz="12" w:space="0" w:color="auto"/>
            </w:tcBorders>
            <w:shd w:val="clear" w:color="auto" w:fill="auto"/>
          </w:tcPr>
          <w:p w14:paraId="13500EE3" w14:textId="77777777" w:rsidR="00382AE3" w:rsidRDefault="000C7240" w:rsidP="00382AE3">
            <w:r>
              <w:t>2</w:t>
            </w:r>
          </w:p>
        </w:tc>
      </w:tr>
      <w:tr w:rsidR="00382AE3" w14:paraId="2555F77C" w14:textId="77777777" w:rsidTr="00382AE3">
        <w:tc>
          <w:tcPr>
            <w:tcW w:w="6912" w:type="dxa"/>
            <w:tcBorders>
              <w:left w:val="single" w:sz="12" w:space="0" w:color="auto"/>
            </w:tcBorders>
            <w:shd w:val="clear" w:color="auto" w:fill="auto"/>
          </w:tcPr>
          <w:p w14:paraId="32D5D7E7" w14:textId="77777777" w:rsidR="00382AE3" w:rsidRDefault="002568BC" w:rsidP="00A21A93">
            <w:r>
              <w:t>Kosteneff</w:t>
            </w:r>
            <w:r w:rsidR="00A21A93">
              <w:t xml:space="preserve">ectiviteit </w:t>
            </w:r>
            <w:r>
              <w:t>programma’s</w:t>
            </w:r>
          </w:p>
        </w:tc>
        <w:tc>
          <w:tcPr>
            <w:tcW w:w="955" w:type="dxa"/>
            <w:tcBorders>
              <w:right w:val="single" w:sz="12" w:space="0" w:color="auto"/>
            </w:tcBorders>
            <w:shd w:val="clear" w:color="auto" w:fill="auto"/>
          </w:tcPr>
          <w:p w14:paraId="0253F85A" w14:textId="77777777" w:rsidR="00382AE3" w:rsidRDefault="00EB5148" w:rsidP="00382AE3">
            <w:r>
              <w:t>2</w:t>
            </w:r>
          </w:p>
        </w:tc>
      </w:tr>
      <w:tr w:rsidR="00382AE3" w14:paraId="64B6B8ED" w14:textId="77777777" w:rsidTr="00382AE3">
        <w:tc>
          <w:tcPr>
            <w:tcW w:w="6912" w:type="dxa"/>
            <w:tcBorders>
              <w:left w:val="single" w:sz="12" w:space="0" w:color="auto"/>
            </w:tcBorders>
            <w:shd w:val="clear" w:color="auto" w:fill="auto"/>
          </w:tcPr>
          <w:p w14:paraId="68B1A055" w14:textId="77777777" w:rsidR="00382AE3" w:rsidRDefault="002568BC" w:rsidP="00382AE3">
            <w:r>
              <w:t>Versobering salarissen en secundaire arbeidsvoorwaarden</w:t>
            </w:r>
          </w:p>
        </w:tc>
        <w:tc>
          <w:tcPr>
            <w:tcW w:w="955" w:type="dxa"/>
            <w:tcBorders>
              <w:right w:val="single" w:sz="12" w:space="0" w:color="auto"/>
            </w:tcBorders>
            <w:shd w:val="clear" w:color="auto" w:fill="auto"/>
          </w:tcPr>
          <w:p w14:paraId="56EBF4CC" w14:textId="77777777" w:rsidR="00382AE3" w:rsidRDefault="000C7240" w:rsidP="00382AE3">
            <w:r>
              <w:t>3</w:t>
            </w:r>
          </w:p>
        </w:tc>
      </w:tr>
      <w:tr w:rsidR="00382AE3" w:rsidRPr="00EA0AA8" w14:paraId="3CB64D85" w14:textId="77777777" w:rsidTr="00B06CE6">
        <w:tc>
          <w:tcPr>
            <w:tcW w:w="6912" w:type="dxa"/>
            <w:tcBorders>
              <w:top w:val="single" w:sz="12" w:space="0" w:color="auto"/>
              <w:left w:val="single" w:sz="12" w:space="0" w:color="auto"/>
              <w:bottom w:val="single" w:sz="12" w:space="0" w:color="auto"/>
            </w:tcBorders>
            <w:shd w:val="clear" w:color="auto" w:fill="D0CECE"/>
          </w:tcPr>
          <w:p w14:paraId="4D7C7C05" w14:textId="77777777" w:rsidR="00382AE3" w:rsidRPr="00EA0AA8" w:rsidRDefault="00382AE3"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58C186F3" w14:textId="77777777" w:rsidR="00382AE3" w:rsidRPr="00EA0AA8" w:rsidRDefault="000C7240" w:rsidP="00382AE3">
            <w:pPr>
              <w:rPr>
                <w:b/>
              </w:rPr>
            </w:pPr>
            <w:r>
              <w:rPr>
                <w:b/>
              </w:rPr>
              <w:t>2</w:t>
            </w:r>
          </w:p>
        </w:tc>
      </w:tr>
    </w:tbl>
    <w:p w14:paraId="46B8A9D7" w14:textId="77777777" w:rsidR="00382AE3" w:rsidRDefault="00382AE3" w:rsidP="00382AE3"/>
    <w:p w14:paraId="4B352DC0" w14:textId="5AFCBD91" w:rsidR="00E03716" w:rsidRDefault="00D32F98" w:rsidP="00E03716">
      <w:pPr>
        <w:ind w:firstLine="227"/>
      </w:pPr>
      <w:r w:rsidRPr="00193994">
        <w:t>Ver</w:t>
      </w:r>
      <w:r w:rsidR="000C7240">
        <w:t xml:space="preserve">andering sinds 2015: </w:t>
      </w:r>
      <w:r w:rsidR="00E03716">
        <w:t>neutraal</w:t>
      </w:r>
      <w:r w:rsidR="00E03716" w:rsidRPr="00193994">
        <w:t xml:space="preserve"> = </w:t>
      </w:r>
      <w:r w:rsidR="00E03716" w:rsidRPr="00193994">
        <w:sym w:font="Wingdings" w:char="F0E8"/>
      </w:r>
    </w:p>
    <w:p w14:paraId="2D014083" w14:textId="77777777" w:rsidR="007F0923" w:rsidRPr="006A670C" w:rsidRDefault="007F0923" w:rsidP="00E03716">
      <w:pPr>
        <w:ind w:firstLine="227"/>
      </w:pPr>
    </w:p>
    <w:p w14:paraId="7BEE66BC" w14:textId="5D1FF254" w:rsidR="00BE3104" w:rsidRDefault="009C7D08" w:rsidP="009C7D08">
      <w:pPr>
        <w:pStyle w:val="Heading2"/>
        <w:tabs>
          <w:tab w:val="left" w:pos="-1162"/>
          <w:tab w:val="left" w:pos="0"/>
          <w:tab w:val="num" w:pos="1160"/>
        </w:tabs>
        <w:spacing w:line="240" w:lineRule="auto"/>
        <w:ind w:hanging="1162"/>
      </w:pPr>
      <w:bookmarkStart w:id="41" w:name="_Toc490833568"/>
      <w:r>
        <w:t>4</w:t>
      </w:r>
      <w:r w:rsidR="000A22CF">
        <w:t>.</w:t>
      </w:r>
      <w:r w:rsidR="00382AE3">
        <w:t>9</w:t>
      </w:r>
      <w:r w:rsidR="004D372F" w:rsidRPr="004D372F">
        <w:t xml:space="preserve"> </w:t>
      </w:r>
      <w:r w:rsidR="004D372F">
        <w:tab/>
      </w:r>
      <w:r w:rsidR="00DE343C" w:rsidRPr="004D372F">
        <w:t>Corruptiebestrijding</w:t>
      </w:r>
      <w:bookmarkEnd w:id="41"/>
      <w:r w:rsidR="000F53BE">
        <w:t xml:space="preserve"> </w:t>
      </w:r>
    </w:p>
    <w:p w14:paraId="78A87B23" w14:textId="55593ACA" w:rsidR="00CA2A15" w:rsidRDefault="004026D5" w:rsidP="00D070F2">
      <w:pPr>
        <w:spacing w:line="276" w:lineRule="auto"/>
      </w:pPr>
      <w:r>
        <w:t xml:space="preserve">De ILO hanteert en </w:t>
      </w:r>
      <w:r>
        <w:rPr>
          <w:i/>
        </w:rPr>
        <w:t xml:space="preserve">zero tolerance </w:t>
      </w:r>
      <w:r>
        <w:t xml:space="preserve">beleid ten aanzien van fraude en corruptie. </w:t>
      </w:r>
      <w:r w:rsidR="00242FF6" w:rsidRPr="0018490C">
        <w:t xml:space="preserve">De Interne Auditor is verantwoordelijk voor onderzoek naar vermeend financieel wanbeheer, fraude en corruptie. Ieder jaar rapporteert de Interne Auditor over lopende en afgesloten onderzoeken en de wijze waarop het management van de organisatie opvolging geeft aan dergelijke onderzoeken. In de praktijk blijken verdenkingen en klachten goed hun weg te vinden naar de Interne Auditor. </w:t>
      </w:r>
      <w:r>
        <w:t xml:space="preserve">In 2015 ontving de Interne Auditor 30 nieuwe zaken, ten opzichte van 10 in 2014 en 21 in </w:t>
      </w:r>
      <w:r>
        <w:lastRenderedPageBreak/>
        <w:t xml:space="preserve">2013. </w:t>
      </w:r>
      <w:r w:rsidR="00736823">
        <w:t xml:space="preserve">De </w:t>
      </w:r>
      <w:r w:rsidR="00736823">
        <w:rPr>
          <w:i/>
        </w:rPr>
        <w:t xml:space="preserve">Independent Oversight and Advisory Committee </w:t>
      </w:r>
      <w:r w:rsidR="00736823">
        <w:t>(IOAC) stelde in het laatste rapport dat het gr</w:t>
      </w:r>
      <w:r w:rsidR="00075D81">
        <w:t>oeiende aantal zaken druk zet</w:t>
      </w:r>
      <w:r w:rsidR="00736823">
        <w:t xml:space="preserve"> op de werklast van de onderzoeksafdeling van de </w:t>
      </w:r>
      <w:r w:rsidR="00075D81">
        <w:t xml:space="preserve">interne auditor. Het blijft hierdoor </w:t>
      </w:r>
      <w:r w:rsidR="00B80096">
        <w:t xml:space="preserve">ook </w:t>
      </w:r>
      <w:r w:rsidR="00075D81">
        <w:t xml:space="preserve">een uitdaging om vast te stellen hoeveel middelen de onderzoeksafdeling moet ontvangen, aangezien dit afhangt van het volume en de aard van de zaken. Tot nog toe zijn verzoeken van de onderzoeksafdeling voor extra middelen gehonoreerd. </w:t>
      </w:r>
      <w:r w:rsidR="00931CCC">
        <w:t>De IOAC bekeek ook de processen om de ethische en verantwoordingsraamwerken te handhaven, en stelde vast dat deze processen goed gestructureerd zijn maar moedigde de Office aan om te bekijken of er andere kanalen opgezet</w:t>
      </w:r>
      <w:r w:rsidR="00516185">
        <w:t xml:space="preserve"> moeten worden waar ethische zorgen of klachten</w:t>
      </w:r>
      <w:r w:rsidR="00931CCC">
        <w:t xml:space="preserve"> geuit konden worden.</w:t>
      </w:r>
    </w:p>
    <w:p w14:paraId="387AD24F" w14:textId="77777777" w:rsidR="000A22CF" w:rsidRDefault="000A22CF" w:rsidP="000A22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4ED5B2A3" w14:textId="77777777" w:rsidTr="00B06CE6">
        <w:tc>
          <w:tcPr>
            <w:tcW w:w="6912" w:type="dxa"/>
            <w:tcBorders>
              <w:top w:val="single" w:sz="12" w:space="0" w:color="auto"/>
              <w:left w:val="single" w:sz="12" w:space="0" w:color="auto"/>
              <w:bottom w:val="single" w:sz="12" w:space="0" w:color="auto"/>
            </w:tcBorders>
            <w:shd w:val="clear" w:color="auto" w:fill="D0CECE"/>
          </w:tcPr>
          <w:p w14:paraId="75A6E21A"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162525FF" w14:textId="77777777" w:rsidR="002A310E" w:rsidRPr="00EA0AA8" w:rsidRDefault="002A310E" w:rsidP="00382AE3">
            <w:pPr>
              <w:rPr>
                <w:b/>
              </w:rPr>
            </w:pPr>
            <w:r w:rsidRPr="00EA0AA8">
              <w:rPr>
                <w:b/>
              </w:rPr>
              <w:t>Score</w:t>
            </w:r>
          </w:p>
        </w:tc>
      </w:tr>
      <w:tr w:rsidR="002A310E" w14:paraId="1A369DB6" w14:textId="77777777" w:rsidTr="00382AE3">
        <w:tc>
          <w:tcPr>
            <w:tcW w:w="6912" w:type="dxa"/>
            <w:tcBorders>
              <w:top w:val="single" w:sz="12" w:space="0" w:color="auto"/>
              <w:left w:val="single" w:sz="12" w:space="0" w:color="auto"/>
            </w:tcBorders>
            <w:shd w:val="clear" w:color="auto" w:fill="auto"/>
          </w:tcPr>
          <w:p w14:paraId="6AA090FB" w14:textId="77777777" w:rsidR="002A310E" w:rsidRDefault="000F53BE" w:rsidP="00382AE3">
            <w:r>
              <w:t>Maatregelen rechtmatigheidsrisico’s</w:t>
            </w:r>
          </w:p>
        </w:tc>
        <w:tc>
          <w:tcPr>
            <w:tcW w:w="955" w:type="dxa"/>
            <w:tcBorders>
              <w:top w:val="single" w:sz="12" w:space="0" w:color="auto"/>
              <w:right w:val="single" w:sz="12" w:space="0" w:color="auto"/>
            </w:tcBorders>
            <w:shd w:val="clear" w:color="auto" w:fill="auto"/>
          </w:tcPr>
          <w:p w14:paraId="68F3B37D" w14:textId="77777777" w:rsidR="002A310E" w:rsidRDefault="00DE6A7A" w:rsidP="00382AE3">
            <w:r>
              <w:t>4</w:t>
            </w:r>
          </w:p>
        </w:tc>
      </w:tr>
      <w:tr w:rsidR="002A310E" w14:paraId="37A921CF" w14:textId="77777777" w:rsidTr="00382AE3">
        <w:tc>
          <w:tcPr>
            <w:tcW w:w="6912" w:type="dxa"/>
            <w:tcBorders>
              <w:left w:val="single" w:sz="12" w:space="0" w:color="auto"/>
            </w:tcBorders>
            <w:shd w:val="clear" w:color="auto" w:fill="auto"/>
          </w:tcPr>
          <w:p w14:paraId="1D9C6A70" w14:textId="77777777" w:rsidR="002A310E" w:rsidRDefault="000F53BE" w:rsidP="00382AE3">
            <w:r>
              <w:t>Maatregelen doelmatigheidsrisico’s</w:t>
            </w:r>
          </w:p>
        </w:tc>
        <w:tc>
          <w:tcPr>
            <w:tcW w:w="955" w:type="dxa"/>
            <w:tcBorders>
              <w:right w:val="single" w:sz="12" w:space="0" w:color="auto"/>
            </w:tcBorders>
            <w:shd w:val="clear" w:color="auto" w:fill="auto"/>
          </w:tcPr>
          <w:p w14:paraId="424BB3E4" w14:textId="77777777" w:rsidR="002A310E" w:rsidRDefault="00DE6A7A" w:rsidP="00382AE3">
            <w:r>
              <w:t>4</w:t>
            </w:r>
          </w:p>
        </w:tc>
      </w:tr>
      <w:tr w:rsidR="002A310E" w14:paraId="1E2FFB7D" w14:textId="77777777" w:rsidTr="00382AE3">
        <w:tc>
          <w:tcPr>
            <w:tcW w:w="6912" w:type="dxa"/>
            <w:tcBorders>
              <w:left w:val="single" w:sz="12" w:space="0" w:color="auto"/>
            </w:tcBorders>
            <w:shd w:val="clear" w:color="auto" w:fill="auto"/>
          </w:tcPr>
          <w:p w14:paraId="6194D5B8" w14:textId="77777777" w:rsidR="002A310E" w:rsidRDefault="000F53BE" w:rsidP="000F53BE">
            <w:r>
              <w:t xml:space="preserve">Anti-corruptiebeleid </w:t>
            </w:r>
          </w:p>
        </w:tc>
        <w:tc>
          <w:tcPr>
            <w:tcW w:w="955" w:type="dxa"/>
            <w:tcBorders>
              <w:right w:val="single" w:sz="12" w:space="0" w:color="auto"/>
            </w:tcBorders>
            <w:shd w:val="clear" w:color="auto" w:fill="auto"/>
          </w:tcPr>
          <w:p w14:paraId="39F31A08" w14:textId="77777777" w:rsidR="002A310E" w:rsidRDefault="00DE6A7A" w:rsidP="00382AE3">
            <w:r>
              <w:t>4</w:t>
            </w:r>
          </w:p>
        </w:tc>
      </w:tr>
      <w:tr w:rsidR="000F53BE" w14:paraId="36856CA7" w14:textId="77777777" w:rsidTr="00382AE3">
        <w:tc>
          <w:tcPr>
            <w:tcW w:w="6912" w:type="dxa"/>
            <w:tcBorders>
              <w:left w:val="single" w:sz="12" w:space="0" w:color="auto"/>
            </w:tcBorders>
            <w:shd w:val="clear" w:color="auto" w:fill="auto"/>
          </w:tcPr>
          <w:p w14:paraId="75AF6E7B" w14:textId="77777777" w:rsidR="000F53BE" w:rsidRDefault="000F53BE" w:rsidP="00382AE3">
            <w:r>
              <w:t>Transparantie integriteitsschendingen</w:t>
            </w:r>
          </w:p>
        </w:tc>
        <w:tc>
          <w:tcPr>
            <w:tcW w:w="955" w:type="dxa"/>
            <w:tcBorders>
              <w:right w:val="single" w:sz="12" w:space="0" w:color="auto"/>
            </w:tcBorders>
            <w:shd w:val="clear" w:color="auto" w:fill="auto"/>
          </w:tcPr>
          <w:p w14:paraId="06852621" w14:textId="77777777" w:rsidR="000F53BE" w:rsidRDefault="00DE6A7A" w:rsidP="00382AE3">
            <w:r>
              <w:t>3</w:t>
            </w:r>
          </w:p>
        </w:tc>
      </w:tr>
      <w:tr w:rsidR="002A310E" w:rsidRPr="00EA0AA8" w14:paraId="58DFB7B0" w14:textId="77777777" w:rsidTr="00B06CE6">
        <w:tc>
          <w:tcPr>
            <w:tcW w:w="6912" w:type="dxa"/>
            <w:tcBorders>
              <w:top w:val="single" w:sz="12" w:space="0" w:color="auto"/>
              <w:left w:val="single" w:sz="12" w:space="0" w:color="auto"/>
              <w:bottom w:val="single" w:sz="12" w:space="0" w:color="auto"/>
            </w:tcBorders>
            <w:shd w:val="clear" w:color="auto" w:fill="D0CECE"/>
          </w:tcPr>
          <w:p w14:paraId="49273AEE"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510932B3" w14:textId="77777777" w:rsidR="002A310E" w:rsidRPr="00EA0AA8" w:rsidRDefault="00DE6A7A" w:rsidP="00382AE3">
            <w:pPr>
              <w:rPr>
                <w:b/>
              </w:rPr>
            </w:pPr>
            <w:r>
              <w:rPr>
                <w:b/>
              </w:rPr>
              <w:t>4</w:t>
            </w:r>
          </w:p>
        </w:tc>
      </w:tr>
    </w:tbl>
    <w:p w14:paraId="79919EC7" w14:textId="77777777" w:rsidR="0031751C" w:rsidRDefault="0031751C" w:rsidP="00E20A86"/>
    <w:p w14:paraId="2005405C" w14:textId="77777777" w:rsidR="00D32F98" w:rsidRPr="006A670C" w:rsidRDefault="00D32F98" w:rsidP="005A07F5">
      <w:pPr>
        <w:ind w:firstLine="227"/>
      </w:pPr>
      <w:r w:rsidRPr="00193994">
        <w:t>Ver</w:t>
      </w:r>
      <w:r w:rsidR="00DE6A7A">
        <w:t>andering sinds 2015:</w:t>
      </w:r>
      <w:r>
        <w:t xml:space="preserve"> neutraal</w:t>
      </w:r>
      <w:r w:rsidRPr="00193994">
        <w:t xml:space="preserve"> = </w:t>
      </w:r>
      <w:r w:rsidRPr="00193994">
        <w:sym w:font="Wingdings" w:char="F0E8"/>
      </w:r>
    </w:p>
    <w:p w14:paraId="3F0E047D" w14:textId="2E6FDC7D" w:rsidR="009534EF" w:rsidRDefault="009C7D08" w:rsidP="004D372F">
      <w:pPr>
        <w:pStyle w:val="Heading1"/>
        <w:tabs>
          <w:tab w:val="num" w:pos="0"/>
        </w:tabs>
        <w:spacing w:after="240" w:line="240" w:lineRule="auto"/>
        <w:ind w:hanging="1162"/>
      </w:pPr>
      <w:bookmarkStart w:id="42" w:name="_Toc348364679"/>
      <w:bookmarkStart w:id="43" w:name="_Toc490833569"/>
      <w:r>
        <w:lastRenderedPageBreak/>
        <w:t>5</w:t>
      </w:r>
      <w:r w:rsidR="004D372F">
        <w:t xml:space="preserve"> </w:t>
      </w:r>
      <w:r w:rsidR="004D372F">
        <w:tab/>
      </w:r>
      <w:r w:rsidR="008409AE">
        <w:t>R</w:t>
      </w:r>
      <w:r w:rsidR="009534EF">
        <w:t>elevantie van de organisatie</w:t>
      </w:r>
      <w:bookmarkEnd w:id="42"/>
      <w:bookmarkEnd w:id="43"/>
    </w:p>
    <w:p w14:paraId="3917F021" w14:textId="47FA3B06" w:rsidR="0031751C" w:rsidRDefault="00A658E7" w:rsidP="001210BF">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65B73828" w14:textId="77777777" w:rsidR="00E6061C" w:rsidRDefault="00E6061C" w:rsidP="001210BF"/>
    <w:p w14:paraId="5767B566" w14:textId="72220D3B" w:rsidR="0027051F" w:rsidRDefault="009C7D08" w:rsidP="009C7D08">
      <w:pPr>
        <w:pStyle w:val="Heading2"/>
        <w:tabs>
          <w:tab w:val="left" w:pos="-1162"/>
          <w:tab w:val="left" w:pos="0"/>
        </w:tabs>
        <w:spacing w:line="240" w:lineRule="auto"/>
        <w:ind w:hanging="1134"/>
      </w:pPr>
      <w:bookmarkStart w:id="44" w:name="_Toc490833570"/>
      <w:r>
        <w:t>5</w:t>
      </w:r>
      <w:r w:rsidR="0027051F">
        <w:t xml:space="preserve">.1 </w:t>
      </w:r>
      <w:r w:rsidR="0008255C">
        <w:tab/>
      </w:r>
      <w:r w:rsidR="0027051F">
        <w:t>Relevantie voor Nederlandse BHOS-prioriteiten</w:t>
      </w:r>
      <w:bookmarkEnd w:id="44"/>
    </w:p>
    <w:p w14:paraId="1CE560E1" w14:textId="01E23F10" w:rsidR="00864054" w:rsidRDefault="00864054" w:rsidP="00864054">
      <w:r w:rsidRPr="006E7B10">
        <w:rPr>
          <w:u w:val="single"/>
        </w:rPr>
        <w:t xml:space="preserve">Veiligheid en </w:t>
      </w:r>
      <w:r w:rsidR="00E727EE">
        <w:rPr>
          <w:u w:val="single"/>
        </w:rPr>
        <w:t>r</w:t>
      </w:r>
      <w:r w:rsidRPr="006E7B10">
        <w:rPr>
          <w:u w:val="single"/>
        </w:rPr>
        <w:t>echtsorde</w:t>
      </w:r>
    </w:p>
    <w:p w14:paraId="26C25076" w14:textId="251D8201" w:rsidR="00864054" w:rsidRDefault="00864054" w:rsidP="00864054">
      <w:r w:rsidRPr="006E7B10">
        <w:rPr>
          <w:i/>
        </w:rPr>
        <w:t>Relevant.</w:t>
      </w:r>
      <w:r>
        <w:t xml:space="preserve"> Vanuit de normerende rol draagt ILO bij aan de bevordering van de internationale rechtsorde. De ILO vervult een belangrijke rol op het terrein van de fundamentele en overige arbeidsrechten, en bevordering en toezicht op naleving ervan. Het werkgelegenheidsaspect speelt een steeds grotere rol in het beleid op veiligheid &amp; rechtsorde, ook binnen andere VN- en multilaterale organisaties, vooral voor jongeren, mede met het oog op tegengaan conflicten en deelname aan terroristische organisaties. De ILO is zich steeds sterker gaan profileren als speler in de transitie van crisis-/humanitaire situatie naar ontwikkeling (zie ook beleidsgebied humanitaire hulp), bijvoorbeeld in Colombia, Jordanië en Libanon. Tijdens de Internationale Arbeidsconferentie in 2016 boog een comité zich over de herziening van een verouderde ILO-aanbeveling over de rol van werkgelegenheid in transities na oorlogs- en crisissituaties. De discussies verliepen op onderdelen moeizaam, en zullen moeten worden afgerond in een tweede lezing tijdens de Internationale Arbeidsconferentie in 2017.</w:t>
      </w:r>
      <w:r w:rsidR="00ED6C2B">
        <w:t xml:space="preserve"> </w:t>
      </w:r>
    </w:p>
    <w:p w14:paraId="0795859A" w14:textId="77777777" w:rsidR="00864054" w:rsidRDefault="00864054" w:rsidP="00864054"/>
    <w:p w14:paraId="0E332A68" w14:textId="77777777" w:rsidR="00864054" w:rsidRDefault="00864054" w:rsidP="00864054">
      <w:r>
        <w:t xml:space="preserve">Daarnaast speelt de ILO een belangrijke rol bij de verbetering van arbeidsomstandigheden en versterking van arbeidsinspecties in ontwikkelingslanden en een ondersteunende rol op het gebied van werkgelegenheid (ook voor jongeren) en sociale zekerheid in ontwikkelingslanden en fragiele staten. Hiermee draagt de ILO bij aan het bevorderen van de stabiliteit. </w:t>
      </w:r>
    </w:p>
    <w:p w14:paraId="21748A24" w14:textId="77777777" w:rsidR="00864054" w:rsidRDefault="00864054" w:rsidP="006E7B10">
      <w:pPr>
        <w:rPr>
          <w:u w:val="single"/>
        </w:rPr>
      </w:pPr>
    </w:p>
    <w:p w14:paraId="3D104E54" w14:textId="77777777" w:rsidR="00864054" w:rsidRDefault="00864054" w:rsidP="00864054">
      <w:r w:rsidRPr="006E7B10">
        <w:rPr>
          <w:u w:val="single"/>
        </w:rPr>
        <w:t>Gendergelijkheid</w:t>
      </w:r>
      <w:r>
        <w:t xml:space="preserve"> </w:t>
      </w:r>
    </w:p>
    <w:p w14:paraId="3599AE3B" w14:textId="21F70D86" w:rsidR="00864054" w:rsidRPr="00AB3989" w:rsidRDefault="00864054" w:rsidP="00864054">
      <w:r w:rsidRPr="006E7B10">
        <w:rPr>
          <w:i/>
        </w:rPr>
        <w:t>Relevant.</w:t>
      </w:r>
      <w:r w:rsidRPr="00FC4FED">
        <w:t xml:space="preserve"> Bevordering van gelijkheid tussen mannen en vrouwen op de werkvloer is onderdeel van het mandaat van de organisatie. Dit thema is in vier ILO-verdragen vastgelegd en onderwerp van één van de fundamentele arbeidsnormen (non-discriminatie op de werkvloer). De ILO beschikt over een uitgebreid netwerk van gender </w:t>
      </w:r>
      <w:r w:rsidRPr="0019197B">
        <w:rPr>
          <w:i/>
        </w:rPr>
        <w:t>focal points</w:t>
      </w:r>
      <w:r w:rsidRPr="00FC4FED">
        <w:t xml:space="preserve"> en genderspecialisten.</w:t>
      </w:r>
      <w:r>
        <w:t xml:space="preserve"> De ILO probeert ervoor te zorgen dat de genderdimensie in het gehele Programma &amp; Budget wordt geïntegreerd, en op landenniveau richt het </w:t>
      </w:r>
      <w:r>
        <w:rPr>
          <w:i/>
        </w:rPr>
        <w:t>Action Plan for Gender Equality</w:t>
      </w:r>
      <w:r>
        <w:t xml:space="preserve"> ervoor dat gendergelijkheid ook in landenprogramma’s wordt opgenomen. Terwijl de ILO toegewijd is op hoofdkantoorniveau, stelde het MOPAN-rapport dat </w:t>
      </w:r>
      <w:r>
        <w:rPr>
          <w:i/>
        </w:rPr>
        <w:t>gender mainstreaming</w:t>
      </w:r>
      <w:r>
        <w:t xml:space="preserve"> op landenniveau niet overal even succesvol is.</w:t>
      </w:r>
      <w:r w:rsidR="00ED6C2B">
        <w:t xml:space="preserve"> </w:t>
      </w:r>
    </w:p>
    <w:p w14:paraId="208833C7" w14:textId="244063AE" w:rsidR="00864054" w:rsidRDefault="00864054" w:rsidP="006E7B10">
      <w:pPr>
        <w:rPr>
          <w:u w:val="single"/>
        </w:rPr>
      </w:pPr>
    </w:p>
    <w:p w14:paraId="2FE3CBE9" w14:textId="5A6ED133" w:rsidR="00864054" w:rsidRDefault="00864054" w:rsidP="00864054">
      <w:r w:rsidRPr="005A07F5">
        <w:rPr>
          <w:i/>
          <w:u w:val="single"/>
        </w:rPr>
        <w:t xml:space="preserve">Private </w:t>
      </w:r>
      <w:r w:rsidR="00E727EE">
        <w:rPr>
          <w:i/>
          <w:u w:val="single"/>
        </w:rPr>
        <w:t>sector ontwikkeling</w:t>
      </w:r>
      <w:r w:rsidRPr="005A07F5">
        <w:rPr>
          <w:u w:val="single"/>
        </w:rPr>
        <w:t xml:space="preserve"> </w:t>
      </w:r>
    </w:p>
    <w:p w14:paraId="51128163" w14:textId="77777777" w:rsidR="00864054" w:rsidRDefault="00864054" w:rsidP="00864054">
      <w:r w:rsidRPr="005A07F5">
        <w:rPr>
          <w:i/>
        </w:rPr>
        <w:t>Relevant</w:t>
      </w:r>
      <w:r>
        <w:t xml:space="preserve">. Private sector ontwikkeling draagt bij duurzame armoedebestrijding, schept nieuwe banen en daarmee een grotere vraag naar arbeid. Een voorwaarde voor Nederland is dat het werk betreft met fatsoenlijke arbeidsvoorwaarden en vakbondsvrijheid, in een veilige omgeving en met voldoende sociaal vangnet. Kortom, werk dat voldoet aan de fundamentele arbeidsnormen van de ILO. De </w:t>
      </w:r>
      <w:r>
        <w:lastRenderedPageBreak/>
        <w:t xml:space="preserve">steeds complexer wordende productie- en toeleveringsketens van bedrijven leiden tot uitdagingen voor fatsoenlijk werk in de keten. Productie vindt verspreid over verschillende landen plaats met een grote rol voor onderaannemers, waardoor het voor overheden lastiger wordt om effectief de arbeidsomstandigheden te kunnen beschermen. Het belang van internationale arbeidsnormen én technische ondersteuning van de ILO om fatsoenlijk werk in de toeleveringsketens te bevorderen lijkt daarmee toegenomen. </w:t>
      </w:r>
      <w:r w:rsidRPr="274800A5">
        <w:rPr>
          <w:rFonts w:eastAsia="Verdana" w:cs="Verdana"/>
          <w:szCs w:val="18"/>
        </w:rPr>
        <w:t xml:space="preserve">De Beheersraad heeft in november 2016 en maart 2017 een uitgebreid actieprogramma aangenomen om conclusies van de ILC op het gebied van </w:t>
      </w:r>
      <w:r w:rsidRPr="003553A7">
        <w:rPr>
          <w:rFonts w:eastAsia="Verdana" w:cs="Verdana"/>
          <w:i/>
          <w:szCs w:val="18"/>
        </w:rPr>
        <w:t>Decent Work in Global Supply Chains</w:t>
      </w:r>
      <w:r w:rsidRPr="274800A5">
        <w:rPr>
          <w:rFonts w:eastAsia="Verdana" w:cs="Verdana"/>
          <w:szCs w:val="18"/>
        </w:rPr>
        <w:t xml:space="preserve"> te verwezenlijken. Ook is in maart 2017 een herziene tekst van de </w:t>
      </w:r>
      <w:r w:rsidRPr="001D756D">
        <w:rPr>
          <w:rFonts w:eastAsia="Verdana" w:cs="Verdana"/>
          <w:i/>
          <w:szCs w:val="18"/>
        </w:rPr>
        <w:t>Tripartite Declaration of Principles for Multinationals and Social Policy</w:t>
      </w:r>
      <w:r w:rsidRPr="274800A5">
        <w:rPr>
          <w:rFonts w:eastAsia="Verdana" w:cs="Verdana"/>
          <w:szCs w:val="18"/>
        </w:rPr>
        <w:t xml:space="preserve"> (kortweg de MNE-</w:t>
      </w:r>
      <w:r w:rsidRPr="00ED6C2B">
        <w:rPr>
          <w:rFonts w:eastAsia="Verdana" w:cs="Verdana"/>
          <w:i/>
          <w:szCs w:val="18"/>
        </w:rPr>
        <w:t>Declaration</w:t>
      </w:r>
      <w:r w:rsidRPr="274800A5">
        <w:rPr>
          <w:rFonts w:eastAsia="Verdana" w:cs="Verdana"/>
          <w:szCs w:val="18"/>
        </w:rPr>
        <w:t>) aangenomen. Binnen de ILO hebben daarnaast de laatste jaren discussies plaatsgevonden over makkelijkere samenwerking tussen de ILO en aparte bedrijven</w:t>
      </w:r>
      <w:r>
        <w:rPr>
          <w:rFonts w:eastAsia="Verdana" w:cs="Verdana"/>
          <w:szCs w:val="18"/>
        </w:rPr>
        <w:t>.</w:t>
      </w:r>
      <w:r>
        <w:rPr>
          <w:rStyle w:val="FootnoteReference"/>
          <w:rFonts w:eastAsia="Verdana" w:cs="Verdana"/>
          <w:szCs w:val="18"/>
        </w:rPr>
        <w:footnoteReference w:id="7"/>
      </w:r>
      <w:r>
        <w:rPr>
          <w:rFonts w:eastAsia="Verdana" w:cs="Verdana"/>
          <w:szCs w:val="18"/>
        </w:rPr>
        <w:t xml:space="preserve"> </w:t>
      </w:r>
    </w:p>
    <w:p w14:paraId="1FBED16D" w14:textId="77777777" w:rsidR="00D070F2" w:rsidRDefault="00D070F2" w:rsidP="00864054"/>
    <w:p w14:paraId="4DFA8157" w14:textId="2E702817" w:rsidR="00864054" w:rsidRDefault="00864054" w:rsidP="00864054">
      <w:r>
        <w:t xml:space="preserve">Nederland steunt het </w:t>
      </w:r>
      <w:r w:rsidRPr="0019197B">
        <w:rPr>
          <w:i/>
        </w:rPr>
        <w:t>Better Work</w:t>
      </w:r>
      <w:r>
        <w:t>-programma van ILO en IFC, dat in een aantal ontwikkelingslanden bijdraagt aan de verbetering van de arbeidsomstandigheden in de textielsector. Kern van dit programma is dat voldoen aan arbeidsnormen goed is voor de werknemer (hogere lonen, veiliger werkomgeving, etc.) maar óók voor de producent (hogere productiviteit).</w:t>
      </w:r>
      <w:r w:rsidR="00ED6C2B">
        <w:t xml:space="preserve"> </w:t>
      </w:r>
    </w:p>
    <w:p w14:paraId="01FC0123" w14:textId="77777777" w:rsidR="00864054" w:rsidRDefault="00864054" w:rsidP="006E7B10">
      <w:pPr>
        <w:rPr>
          <w:u w:val="single"/>
        </w:rPr>
      </w:pPr>
    </w:p>
    <w:p w14:paraId="4ED288A8" w14:textId="5188A3AD" w:rsidR="008B720C" w:rsidRPr="006E7B10" w:rsidRDefault="008B720C" w:rsidP="006E7B10">
      <w:pPr>
        <w:rPr>
          <w:u w:val="single"/>
        </w:rPr>
      </w:pPr>
      <w:r w:rsidRPr="006E7B10">
        <w:rPr>
          <w:u w:val="single"/>
        </w:rPr>
        <w:t>Voedselzekerheid</w:t>
      </w:r>
    </w:p>
    <w:p w14:paraId="644D3215" w14:textId="782FEA4D" w:rsidR="00FC4FED" w:rsidRDefault="00FC4FED" w:rsidP="00FC4FED">
      <w:r w:rsidRPr="006E7B10">
        <w:rPr>
          <w:i/>
        </w:rPr>
        <w:t>Beperkt relevant.</w:t>
      </w:r>
      <w:r w:rsidRPr="00FC4FED">
        <w:t xml:space="preserve"> Het mandaat van de ILO richt zich op vele aspecten van private sectorontwikkeling en daarmee op onderwerpen die direct raken aan de producenten- en de consumentenkant van voedselzekerheid. Hierbij heeft de ILO veel aandacht voor rurale gebieden en bevordering van ondernemerschap in de landbouw. </w:t>
      </w:r>
      <w:r w:rsidRPr="00AD77B4">
        <w:t>De ILO werkt nauw samen met de FAO</w:t>
      </w:r>
      <w:r w:rsidR="00AD77B4" w:rsidRPr="00AD77B4">
        <w:t xml:space="preserve">, ook op door middel van gezamenlijke initiatieven op landenniveau, bijv. door het </w:t>
      </w:r>
      <w:r w:rsidR="00AD77B4" w:rsidRPr="00AD77B4">
        <w:rPr>
          <w:i/>
        </w:rPr>
        <w:t>Decent Work for Food Security</w:t>
      </w:r>
      <w:r w:rsidR="00D070F2">
        <w:t>. E</w:t>
      </w:r>
      <w:r w:rsidR="006B3329">
        <w:t>é</w:t>
      </w:r>
      <w:r w:rsidRPr="00AD77B4">
        <w:t>n van de tien bel</w:t>
      </w:r>
      <w:r w:rsidR="006B3329">
        <w:t>eidsdoelstellingen in het</w:t>
      </w:r>
      <w:r w:rsidRPr="00AD77B4">
        <w:t xml:space="preserve"> SPF is “</w:t>
      </w:r>
      <w:r w:rsidRPr="003553A7">
        <w:rPr>
          <w:i/>
        </w:rPr>
        <w:t>decent work in the rural economy</w:t>
      </w:r>
      <w:r w:rsidRPr="00AD77B4">
        <w:t>”.</w:t>
      </w:r>
      <w:r w:rsidRPr="00FC4FED">
        <w:t xml:space="preserve"> </w:t>
      </w:r>
      <w:r w:rsidR="274800A5" w:rsidRPr="274800A5">
        <w:rPr>
          <w:rFonts w:eastAsia="Verdana" w:cs="Verdana"/>
          <w:szCs w:val="18"/>
        </w:rPr>
        <w:t xml:space="preserve">Een recente poging om te komen tot </w:t>
      </w:r>
      <w:r w:rsidR="274800A5" w:rsidRPr="006B3329">
        <w:rPr>
          <w:rFonts w:eastAsia="Verdana" w:cs="Verdana"/>
          <w:i/>
          <w:szCs w:val="18"/>
        </w:rPr>
        <w:t>Policy Guidelines for the Promotion of Sustainable Rural Livelihoods</w:t>
      </w:r>
      <w:r w:rsidR="274800A5" w:rsidRPr="274800A5">
        <w:rPr>
          <w:rFonts w:eastAsia="Verdana" w:cs="Verdana"/>
          <w:szCs w:val="18"/>
        </w:rPr>
        <w:t xml:space="preserve"> </w:t>
      </w:r>
      <w:r w:rsidR="274800A5" w:rsidRPr="006B3329">
        <w:rPr>
          <w:rFonts w:eastAsia="Verdana" w:cs="Verdana"/>
          <w:i/>
          <w:szCs w:val="18"/>
        </w:rPr>
        <w:t>targeting the agro-food sectors</w:t>
      </w:r>
      <w:r w:rsidR="274800A5" w:rsidRPr="274800A5">
        <w:rPr>
          <w:rFonts w:eastAsia="Verdana" w:cs="Verdana"/>
          <w:szCs w:val="18"/>
        </w:rPr>
        <w:t xml:space="preserve"> is helaas mislukt door onenigheid tussen de sociale partners</w:t>
      </w:r>
      <w:r w:rsidR="00080FAD">
        <w:rPr>
          <w:rFonts w:eastAsia="Verdana" w:cs="Verdana"/>
          <w:szCs w:val="18"/>
        </w:rPr>
        <w:t>.</w:t>
      </w:r>
      <w:r w:rsidR="274800A5" w:rsidRPr="274800A5">
        <w:rPr>
          <w:rFonts w:eastAsia="Verdana" w:cs="Verdana"/>
          <w:szCs w:val="18"/>
        </w:rPr>
        <w:t xml:space="preserve"> Het is nog onduidelijk of dit initiatief een vervolg zal krijgen.</w:t>
      </w:r>
      <w:r w:rsidR="00ED6C2B">
        <w:rPr>
          <w:rFonts w:eastAsia="Verdana" w:cs="Verdana"/>
          <w:szCs w:val="18"/>
        </w:rPr>
        <w:t xml:space="preserve"> </w:t>
      </w:r>
    </w:p>
    <w:p w14:paraId="75571F13" w14:textId="77777777" w:rsidR="00FC4FED" w:rsidRPr="00F83026" w:rsidRDefault="00FC4FED" w:rsidP="00FC4FED"/>
    <w:p w14:paraId="02C3337D" w14:textId="71D84FC8" w:rsidR="008B720C" w:rsidRPr="006E7B10" w:rsidRDefault="008B720C" w:rsidP="006E7B10">
      <w:pPr>
        <w:rPr>
          <w:u w:val="single"/>
        </w:rPr>
      </w:pPr>
      <w:r w:rsidRPr="006E7B10">
        <w:rPr>
          <w:u w:val="single"/>
        </w:rPr>
        <w:t>Seksuele en Reproductieve Gezondhe</w:t>
      </w:r>
      <w:r w:rsidR="006E7B10">
        <w:rPr>
          <w:u w:val="single"/>
        </w:rPr>
        <w:t>id en Rechten (SRGR), incl. HIV</w:t>
      </w:r>
      <w:r w:rsidRPr="006E7B10">
        <w:rPr>
          <w:u w:val="single"/>
        </w:rPr>
        <w:t>/</w:t>
      </w:r>
      <w:r w:rsidR="006E7B10">
        <w:rPr>
          <w:u w:val="single"/>
        </w:rPr>
        <w:t>A</w:t>
      </w:r>
      <w:r w:rsidRPr="006E7B10">
        <w:rPr>
          <w:u w:val="single"/>
        </w:rPr>
        <w:t>ids</w:t>
      </w:r>
    </w:p>
    <w:p w14:paraId="16F70F5E" w14:textId="0762B2A3" w:rsidR="00FC4FED" w:rsidRDefault="00FC4FED" w:rsidP="00FC4FED">
      <w:r w:rsidRPr="00864054">
        <w:rPr>
          <w:i/>
        </w:rPr>
        <w:t>Beperkt relevant.</w:t>
      </w:r>
      <w:r w:rsidRPr="00FC4FED">
        <w:t xml:space="preserve"> Het belang van SRGR op de werkplaats, waaronder bijzondere aandacht voor moeders, wordt geadresseerd in ILO-activiteiten op het gebied van gendergelijkheid. De ILO heeft een afdeling die zich bezighoudt met HIV/aids en aandacht</w:t>
      </w:r>
      <w:r w:rsidR="00ED6C2B">
        <w:t xml:space="preserve"> voor mensen met HIV/aids is gemainstreamed</w:t>
      </w:r>
      <w:r w:rsidRPr="00FC4FED">
        <w:t xml:space="preserve"> in de ILO-landenprogramma’s.</w:t>
      </w:r>
    </w:p>
    <w:p w14:paraId="63121877" w14:textId="77777777" w:rsidR="009F5339" w:rsidRPr="00FC4FED" w:rsidRDefault="009F5339" w:rsidP="00FC4FED"/>
    <w:p w14:paraId="573811EC" w14:textId="06E0C7C4" w:rsidR="008B720C" w:rsidRDefault="008B720C" w:rsidP="005A07F5">
      <w:r w:rsidRPr="005A07F5">
        <w:rPr>
          <w:u w:val="single"/>
        </w:rPr>
        <w:t>Klimaat</w:t>
      </w:r>
    </w:p>
    <w:p w14:paraId="302D05BF" w14:textId="3A223C10" w:rsidR="00FC4FED" w:rsidRPr="00881D16" w:rsidRDefault="00CB1842" w:rsidP="00FC4FED">
      <w:r w:rsidRPr="00864054">
        <w:rPr>
          <w:i/>
        </w:rPr>
        <w:t>Beperkt</w:t>
      </w:r>
      <w:r w:rsidR="00FC4FED" w:rsidRPr="00864054">
        <w:rPr>
          <w:i/>
        </w:rPr>
        <w:t xml:space="preserve"> relevant.</w:t>
      </w:r>
      <w:r>
        <w:t xml:space="preserve"> In het Strategisch Plan 2016-2017 en het Pr</w:t>
      </w:r>
      <w:r w:rsidR="00881D16">
        <w:t>ogramma &amp; Budget 2016-2017 was</w:t>
      </w:r>
      <w:r>
        <w:t xml:space="preserve"> een nieuwe</w:t>
      </w:r>
      <w:r w:rsidR="00D130EA">
        <w:t xml:space="preserve">, vierde, dwarsdoorsnijdend beleidsthema op </w:t>
      </w:r>
      <w:r w:rsidR="00D130EA" w:rsidRPr="0019197B">
        <w:rPr>
          <w:i/>
        </w:rPr>
        <w:t>environmental sustainability</w:t>
      </w:r>
      <w:r w:rsidR="00D130EA">
        <w:t xml:space="preserve"> ingevoerd.</w:t>
      </w:r>
      <w:r w:rsidR="274800A5">
        <w:t xml:space="preserve"> </w:t>
      </w:r>
      <w:r w:rsidR="274800A5" w:rsidRPr="274800A5">
        <w:rPr>
          <w:rFonts w:eastAsia="Verdana" w:cs="Verdana"/>
          <w:szCs w:val="18"/>
        </w:rPr>
        <w:t xml:space="preserve">Dit initiatief kende aanvankelijk veel weerstand van met name de kant overheden en werkgevers. De DG heeft bij de bespreking van het Programma en Budget gepleit voor deze </w:t>
      </w:r>
      <w:r w:rsidR="274800A5" w:rsidRPr="0019197B">
        <w:rPr>
          <w:rFonts w:eastAsia="Verdana" w:cs="Verdana"/>
          <w:i/>
          <w:szCs w:val="18"/>
        </w:rPr>
        <w:t>crosscutting driver</w:t>
      </w:r>
      <w:r w:rsidR="274800A5" w:rsidRPr="274800A5">
        <w:rPr>
          <w:rFonts w:eastAsia="Verdana" w:cs="Verdana"/>
          <w:szCs w:val="18"/>
        </w:rPr>
        <w:t>, omdat er volgens hem geen discussie kan zijn over de noodzaak tot het leveren van een bijdrage aan klimaatgerichte ontwikkeling, ook door de ILO. In de MOPAN-evaluatie van de ILO scoort de ILO slecht op dit vlak, maar deze is afgerond voordat de Beheersraad van maart 2017 het Programma en Budget accordeerde.</w:t>
      </w:r>
      <w:r w:rsidR="00FC4FED" w:rsidRPr="00FC4FED">
        <w:t xml:space="preserve"> </w:t>
      </w:r>
      <w:r w:rsidR="00D130EA">
        <w:t>Daarnaast</w:t>
      </w:r>
      <w:r w:rsidR="00FC4FED" w:rsidRPr="00FC4FED">
        <w:t xml:space="preserve"> beoogt het </w:t>
      </w:r>
      <w:r w:rsidR="00FC4FED" w:rsidRPr="0019197B">
        <w:rPr>
          <w:i/>
        </w:rPr>
        <w:t>Green Jobs</w:t>
      </w:r>
      <w:r w:rsidR="00764F32">
        <w:t>-</w:t>
      </w:r>
      <w:r w:rsidR="00FC4FED" w:rsidRPr="00FC4FED">
        <w:t xml:space="preserve">programma van ILO en UNEP bij te dragen aan armoedebestrijding, fatsoenlijke werkgelegenheid en structurele veranderingen in de </w:t>
      </w:r>
      <w:r w:rsidR="00FC4FED" w:rsidRPr="00FC4FED">
        <w:lastRenderedPageBreak/>
        <w:t xml:space="preserve">economie (transitie naar </w:t>
      </w:r>
      <w:r w:rsidR="00FC4FED" w:rsidRPr="0019197B">
        <w:rPr>
          <w:i/>
        </w:rPr>
        <w:t>low carbon</w:t>
      </w:r>
      <w:r w:rsidR="00FC4FED" w:rsidRPr="00FC4FED">
        <w:t xml:space="preserve"> </w:t>
      </w:r>
      <w:r w:rsidR="00FC4FED" w:rsidRPr="0019197B">
        <w:rPr>
          <w:i/>
        </w:rPr>
        <w:t>economy</w:t>
      </w:r>
      <w:r w:rsidR="00FC4FED" w:rsidRPr="00FC4FED">
        <w:t>), en klimaatverandering tegen te gaan.</w:t>
      </w:r>
      <w:r w:rsidR="00881D16">
        <w:t xml:space="preserve"> </w:t>
      </w:r>
      <w:r w:rsidR="00881D16" w:rsidRPr="00881D16">
        <w:t>De ILO heeft recentelijk richtlijnen gepubliceerd voor een “</w:t>
      </w:r>
      <w:r w:rsidR="00881D16" w:rsidRPr="00881D16">
        <w:rPr>
          <w:i/>
        </w:rPr>
        <w:t>just transition towards environmentally sustainable economies and societies for all</w:t>
      </w:r>
      <w:r w:rsidR="00881D16" w:rsidRPr="00881D16">
        <w:t>” waarin praktische</w:t>
      </w:r>
      <w:r w:rsidR="274800A5" w:rsidRPr="00881D16">
        <w:t xml:space="preserve"> tools</w:t>
      </w:r>
      <w:r w:rsidR="274800A5">
        <w:t xml:space="preserve"> </w:t>
      </w:r>
      <w:r w:rsidR="00881D16">
        <w:t xml:space="preserve">aangereikt worden aan </w:t>
      </w:r>
      <w:r w:rsidR="00881D16" w:rsidRPr="00ED6C2B">
        <w:rPr>
          <w:i/>
        </w:rPr>
        <w:t>consituents</w:t>
      </w:r>
      <w:r w:rsidR="00881D16">
        <w:t xml:space="preserve"> om maatregelen om klimaatverandering tegen te gaan ook bijdragen aan werkgelegenheidsbevordering en sociale rechtvaardigheid. </w:t>
      </w:r>
    </w:p>
    <w:p w14:paraId="01B79C1A" w14:textId="77777777" w:rsidR="00FC4FED" w:rsidRDefault="00FC4FED" w:rsidP="00FC4FED"/>
    <w:p w14:paraId="7FBA040F" w14:textId="4A92A647" w:rsidR="008B720C" w:rsidRDefault="008B720C" w:rsidP="005A07F5">
      <w:r w:rsidRPr="005A07F5">
        <w:rPr>
          <w:u w:val="single"/>
        </w:rPr>
        <w:t>Humanitaire hulp</w:t>
      </w:r>
    </w:p>
    <w:p w14:paraId="63842B2C" w14:textId="77777777" w:rsidR="00573652" w:rsidRPr="00573652" w:rsidRDefault="00260EC0" w:rsidP="00573652">
      <w:r w:rsidRPr="005A07F5">
        <w:rPr>
          <w:i/>
        </w:rPr>
        <w:t>Beperkt r</w:t>
      </w:r>
      <w:r w:rsidR="00573652" w:rsidRPr="005A07F5">
        <w:rPr>
          <w:i/>
        </w:rPr>
        <w:t>elevant</w:t>
      </w:r>
      <w:r w:rsidR="00573652" w:rsidRPr="00573652">
        <w:t xml:space="preserve">. Bij humanitaire rampen en hun nasleep speelt de ILO steeds vaker een rol in de wederopbouw en bevordering </w:t>
      </w:r>
      <w:r w:rsidR="00573652">
        <w:t xml:space="preserve">van </w:t>
      </w:r>
      <w:r w:rsidR="00573652" w:rsidRPr="0019197B">
        <w:rPr>
          <w:i/>
        </w:rPr>
        <w:t>resilience</w:t>
      </w:r>
      <w:r w:rsidR="00573652">
        <w:t xml:space="preserve">. </w:t>
      </w:r>
      <w:r w:rsidR="0047508B">
        <w:t xml:space="preserve">De ILO is zich sterker gaan profileren als belangrijke speler in crisis respons situaties, met name door het benadrukken dat de </w:t>
      </w:r>
      <w:r w:rsidR="0047508B" w:rsidRPr="003553A7">
        <w:rPr>
          <w:i/>
        </w:rPr>
        <w:t xml:space="preserve">Decent Work </w:t>
      </w:r>
      <w:r w:rsidR="00640FF1" w:rsidRPr="003553A7">
        <w:rPr>
          <w:i/>
        </w:rPr>
        <w:t>A</w:t>
      </w:r>
      <w:r w:rsidR="0047508B" w:rsidRPr="003553A7">
        <w:rPr>
          <w:i/>
        </w:rPr>
        <w:t>genda</w:t>
      </w:r>
      <w:r w:rsidR="0047508B">
        <w:t xml:space="preserve"> een belangrijke brug vormt tussen humanitaire hulp en ontwikkelingssamenwerking. </w:t>
      </w:r>
      <w:r w:rsidR="00573652">
        <w:t xml:space="preserve">Met </w:t>
      </w:r>
      <w:r w:rsidR="00573652" w:rsidRPr="00573652">
        <w:t xml:space="preserve">werkgelegenheidsprojecten is de ILO bijvoorbeeld actief in landen die veel Syrische asielzoekers opvangen. </w:t>
      </w:r>
      <w:r w:rsidR="00573652" w:rsidRPr="274800A5">
        <w:t xml:space="preserve">Met de uitbreiding van de </w:t>
      </w:r>
      <w:r w:rsidR="00573652" w:rsidRPr="0019197B">
        <w:rPr>
          <w:i/>
        </w:rPr>
        <w:t>Development Cooperation Strategy</w:t>
      </w:r>
      <w:r w:rsidR="00573652" w:rsidRPr="274800A5">
        <w:t xml:space="preserve"> in de Arabische regio bereidt de ILO zich ook voor op </w:t>
      </w:r>
      <w:r w:rsidR="00573652" w:rsidRPr="00486D84">
        <w:t xml:space="preserve">meer </w:t>
      </w:r>
      <w:r w:rsidR="00573652" w:rsidRPr="0019197B">
        <w:rPr>
          <w:i/>
        </w:rPr>
        <w:t>emergency preparedness and capacity</w:t>
      </w:r>
      <w:r w:rsidR="00573652" w:rsidRPr="274800A5">
        <w:t>. Ook heeft de ILO bijgedragen aan de wederopbouwfase op de Filippijnen na orkaan Haiyan. In de ebola-respons in West-Afrika werkt</w:t>
      </w:r>
      <w:r w:rsidR="274800A5" w:rsidRPr="274800A5">
        <w:t>e</w:t>
      </w:r>
      <w:r w:rsidR="00573652" w:rsidRPr="274800A5">
        <w:t xml:space="preserve"> de ILO nauw samen met de WHO op het gebied van veiligheids- en gezondheidsmaatregelen voor zorgmedewerkers.</w:t>
      </w:r>
      <w:r w:rsidR="274800A5" w:rsidRPr="274800A5">
        <w:t xml:space="preserve"> </w:t>
      </w:r>
    </w:p>
    <w:p w14:paraId="217EB7F1" w14:textId="77777777" w:rsidR="274800A5" w:rsidRDefault="274800A5" w:rsidP="274800A5"/>
    <w:p w14:paraId="2C527ABE" w14:textId="77777777" w:rsidR="00EA615D" w:rsidRDefault="00EA615D" w:rsidP="002C45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1905"/>
        <w:gridCol w:w="1929"/>
        <w:gridCol w:w="1896"/>
      </w:tblGrid>
      <w:tr w:rsidR="00864054" w14:paraId="46C84616" w14:textId="77777777" w:rsidTr="00B618CB">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8B44F44" w14:textId="1D3D1A2F" w:rsidR="00864054" w:rsidRPr="00792AB2" w:rsidRDefault="00864054" w:rsidP="00864054">
            <w:pPr>
              <w:rPr>
                <w:b/>
              </w:rPr>
            </w:pPr>
            <w:r>
              <w:rPr>
                <w:b/>
              </w:rPr>
              <w:t>Relevantie voor de Nederlandse BHOS-prioriteiten</w:t>
            </w:r>
          </w:p>
        </w:tc>
      </w:tr>
      <w:tr w:rsidR="008B720C" w14:paraId="4C8323C9" w14:textId="77777777" w:rsidTr="00B618CB">
        <w:tc>
          <w:tcPr>
            <w:tcW w:w="1967" w:type="dxa"/>
            <w:tcBorders>
              <w:top w:val="single" w:sz="12" w:space="0" w:color="auto"/>
              <w:left w:val="single" w:sz="12" w:space="0" w:color="auto"/>
              <w:bottom w:val="single" w:sz="12" w:space="0" w:color="auto"/>
            </w:tcBorders>
            <w:shd w:val="clear" w:color="auto" w:fill="BFBFBF" w:themeFill="background1" w:themeFillShade="BF"/>
          </w:tcPr>
          <w:p w14:paraId="26DCE5D3" w14:textId="77777777" w:rsidR="008B720C" w:rsidRPr="00792AB2" w:rsidRDefault="008B720C" w:rsidP="002C45B0">
            <w:pPr>
              <w:rPr>
                <w:b/>
                <w:i/>
              </w:rPr>
            </w:pPr>
          </w:p>
        </w:tc>
        <w:tc>
          <w:tcPr>
            <w:tcW w:w="1905" w:type="dxa"/>
            <w:tcBorders>
              <w:top w:val="single" w:sz="12" w:space="0" w:color="auto"/>
              <w:bottom w:val="single" w:sz="12" w:space="0" w:color="auto"/>
            </w:tcBorders>
            <w:shd w:val="clear" w:color="auto" w:fill="BFBFBF" w:themeFill="background1" w:themeFillShade="BF"/>
          </w:tcPr>
          <w:p w14:paraId="2237F40B" w14:textId="77777777" w:rsidR="00674C14" w:rsidRPr="00792AB2" w:rsidRDefault="008B720C" w:rsidP="002C45B0">
            <w:pPr>
              <w:rPr>
                <w:b/>
              </w:rPr>
            </w:pPr>
            <w:r w:rsidRPr="00792AB2">
              <w:rPr>
                <w:b/>
              </w:rPr>
              <w:t>Uitvoerend</w:t>
            </w:r>
          </w:p>
        </w:tc>
        <w:tc>
          <w:tcPr>
            <w:tcW w:w="1929" w:type="dxa"/>
            <w:tcBorders>
              <w:top w:val="single" w:sz="12" w:space="0" w:color="auto"/>
              <w:bottom w:val="single" w:sz="12" w:space="0" w:color="auto"/>
            </w:tcBorders>
            <w:shd w:val="clear" w:color="auto" w:fill="BFBFBF" w:themeFill="background1" w:themeFillShade="BF"/>
          </w:tcPr>
          <w:p w14:paraId="463624A0" w14:textId="77777777" w:rsidR="008B720C" w:rsidRPr="00792AB2" w:rsidRDefault="008B720C" w:rsidP="002C45B0">
            <w:pPr>
              <w:rPr>
                <w:b/>
              </w:rPr>
            </w:pPr>
            <w:r w:rsidRPr="00792AB2">
              <w:rPr>
                <w:b/>
              </w:rPr>
              <w:t>Coördinerend</w:t>
            </w:r>
          </w:p>
        </w:tc>
        <w:tc>
          <w:tcPr>
            <w:tcW w:w="1896" w:type="dxa"/>
            <w:tcBorders>
              <w:top w:val="single" w:sz="12" w:space="0" w:color="auto"/>
              <w:bottom w:val="single" w:sz="12" w:space="0" w:color="auto"/>
              <w:right w:val="single" w:sz="12" w:space="0" w:color="auto"/>
            </w:tcBorders>
            <w:shd w:val="clear" w:color="auto" w:fill="BFBFBF" w:themeFill="background1" w:themeFillShade="BF"/>
          </w:tcPr>
          <w:p w14:paraId="5759F2C6" w14:textId="77777777" w:rsidR="008B720C" w:rsidRPr="00792AB2" w:rsidRDefault="008B720C" w:rsidP="002C45B0">
            <w:pPr>
              <w:rPr>
                <w:b/>
              </w:rPr>
            </w:pPr>
            <w:r w:rsidRPr="00792AB2">
              <w:rPr>
                <w:b/>
              </w:rPr>
              <w:t>Normatief</w:t>
            </w:r>
          </w:p>
        </w:tc>
      </w:tr>
      <w:tr w:rsidR="008B720C" w14:paraId="7EC74A22" w14:textId="77777777" w:rsidTr="00880CAF">
        <w:tc>
          <w:tcPr>
            <w:tcW w:w="1967" w:type="dxa"/>
            <w:tcBorders>
              <w:top w:val="single" w:sz="12" w:space="0" w:color="auto"/>
              <w:left w:val="single" w:sz="12" w:space="0" w:color="auto"/>
            </w:tcBorders>
            <w:shd w:val="clear" w:color="auto" w:fill="auto"/>
          </w:tcPr>
          <w:p w14:paraId="3586CBCB" w14:textId="77777777" w:rsidR="008B720C" w:rsidRDefault="008B720C" w:rsidP="002C45B0">
            <w:r>
              <w:t>Veiligheid en rechtsorde</w:t>
            </w:r>
          </w:p>
        </w:tc>
        <w:tc>
          <w:tcPr>
            <w:tcW w:w="1905" w:type="dxa"/>
            <w:tcBorders>
              <w:top w:val="single" w:sz="12" w:space="0" w:color="auto"/>
            </w:tcBorders>
            <w:shd w:val="clear" w:color="auto" w:fill="auto"/>
          </w:tcPr>
          <w:p w14:paraId="66CDDBAB" w14:textId="77777777" w:rsidR="008B720C" w:rsidRDefault="003E79F6" w:rsidP="002C45B0">
            <w:r>
              <w:t>3</w:t>
            </w:r>
          </w:p>
        </w:tc>
        <w:tc>
          <w:tcPr>
            <w:tcW w:w="1929" w:type="dxa"/>
            <w:tcBorders>
              <w:top w:val="single" w:sz="12" w:space="0" w:color="auto"/>
            </w:tcBorders>
            <w:shd w:val="clear" w:color="auto" w:fill="auto"/>
          </w:tcPr>
          <w:p w14:paraId="002FA37A" w14:textId="77777777" w:rsidR="008B720C" w:rsidRDefault="008B720C" w:rsidP="002C45B0"/>
        </w:tc>
        <w:tc>
          <w:tcPr>
            <w:tcW w:w="1896" w:type="dxa"/>
            <w:tcBorders>
              <w:top w:val="single" w:sz="12" w:space="0" w:color="auto"/>
              <w:right w:val="single" w:sz="12" w:space="0" w:color="auto"/>
            </w:tcBorders>
            <w:shd w:val="clear" w:color="auto" w:fill="auto"/>
          </w:tcPr>
          <w:p w14:paraId="1F772358" w14:textId="77777777" w:rsidR="008B720C" w:rsidRDefault="003E79F6" w:rsidP="002C45B0">
            <w:r>
              <w:t>3</w:t>
            </w:r>
          </w:p>
        </w:tc>
      </w:tr>
      <w:tr w:rsidR="008B720C" w14:paraId="72134417" w14:textId="77777777" w:rsidTr="00880CAF">
        <w:tc>
          <w:tcPr>
            <w:tcW w:w="1967" w:type="dxa"/>
            <w:tcBorders>
              <w:left w:val="single" w:sz="12" w:space="0" w:color="auto"/>
            </w:tcBorders>
            <w:shd w:val="clear" w:color="auto" w:fill="auto"/>
          </w:tcPr>
          <w:p w14:paraId="452B52BA" w14:textId="77777777" w:rsidR="008B720C" w:rsidRDefault="008B720C" w:rsidP="008B720C">
            <w:r>
              <w:t>Gendergelijkheid</w:t>
            </w:r>
          </w:p>
        </w:tc>
        <w:tc>
          <w:tcPr>
            <w:tcW w:w="1905" w:type="dxa"/>
            <w:shd w:val="clear" w:color="auto" w:fill="auto"/>
          </w:tcPr>
          <w:p w14:paraId="1AE38C0D" w14:textId="77777777" w:rsidR="008B720C" w:rsidRDefault="003E79F6" w:rsidP="002C45B0">
            <w:r>
              <w:t>4</w:t>
            </w:r>
          </w:p>
        </w:tc>
        <w:tc>
          <w:tcPr>
            <w:tcW w:w="1929" w:type="dxa"/>
            <w:shd w:val="clear" w:color="auto" w:fill="auto"/>
          </w:tcPr>
          <w:p w14:paraId="027E6222" w14:textId="77777777" w:rsidR="008B720C" w:rsidRDefault="008B720C" w:rsidP="002C45B0"/>
        </w:tc>
        <w:tc>
          <w:tcPr>
            <w:tcW w:w="1896" w:type="dxa"/>
            <w:tcBorders>
              <w:right w:val="single" w:sz="12" w:space="0" w:color="auto"/>
            </w:tcBorders>
            <w:shd w:val="clear" w:color="auto" w:fill="auto"/>
          </w:tcPr>
          <w:p w14:paraId="0033139B" w14:textId="77777777" w:rsidR="008B720C" w:rsidRDefault="003E79F6" w:rsidP="002C45B0">
            <w:r>
              <w:t>4</w:t>
            </w:r>
          </w:p>
        </w:tc>
      </w:tr>
      <w:tr w:rsidR="008B720C" w14:paraId="3C3532A4" w14:textId="77777777" w:rsidTr="00880CAF">
        <w:tc>
          <w:tcPr>
            <w:tcW w:w="1967" w:type="dxa"/>
            <w:tcBorders>
              <w:left w:val="single" w:sz="12" w:space="0" w:color="auto"/>
              <w:bottom w:val="single" w:sz="12" w:space="0" w:color="auto"/>
            </w:tcBorders>
            <w:shd w:val="clear" w:color="auto" w:fill="auto"/>
          </w:tcPr>
          <w:p w14:paraId="1DFB8FAB" w14:textId="5BE747D0" w:rsidR="008B720C" w:rsidRDefault="008B720C" w:rsidP="00E727EE">
            <w:r>
              <w:t xml:space="preserve">Private sector </w:t>
            </w:r>
            <w:r w:rsidR="00E727EE">
              <w:t>ontwikkeling</w:t>
            </w:r>
          </w:p>
        </w:tc>
        <w:tc>
          <w:tcPr>
            <w:tcW w:w="1905" w:type="dxa"/>
            <w:tcBorders>
              <w:bottom w:val="single" w:sz="12" w:space="0" w:color="auto"/>
            </w:tcBorders>
            <w:shd w:val="clear" w:color="auto" w:fill="auto"/>
          </w:tcPr>
          <w:p w14:paraId="3D5AFFB5" w14:textId="77777777" w:rsidR="008B720C" w:rsidRDefault="003E79F6" w:rsidP="002C45B0">
            <w:r>
              <w:t>4</w:t>
            </w:r>
          </w:p>
        </w:tc>
        <w:tc>
          <w:tcPr>
            <w:tcW w:w="1929" w:type="dxa"/>
            <w:tcBorders>
              <w:bottom w:val="single" w:sz="12" w:space="0" w:color="auto"/>
            </w:tcBorders>
            <w:shd w:val="clear" w:color="auto" w:fill="auto"/>
          </w:tcPr>
          <w:p w14:paraId="57D16AB3" w14:textId="77777777" w:rsidR="008B720C" w:rsidRDefault="008B720C" w:rsidP="002C45B0"/>
        </w:tc>
        <w:tc>
          <w:tcPr>
            <w:tcW w:w="1896" w:type="dxa"/>
            <w:tcBorders>
              <w:bottom w:val="single" w:sz="12" w:space="0" w:color="auto"/>
              <w:right w:val="single" w:sz="12" w:space="0" w:color="auto"/>
            </w:tcBorders>
            <w:shd w:val="clear" w:color="auto" w:fill="auto"/>
          </w:tcPr>
          <w:p w14:paraId="2EDE5D20" w14:textId="77777777" w:rsidR="008B720C" w:rsidRDefault="003E79F6" w:rsidP="002C45B0">
            <w:r>
              <w:t>4</w:t>
            </w:r>
          </w:p>
        </w:tc>
      </w:tr>
    </w:tbl>
    <w:p w14:paraId="2EFDAE83" w14:textId="77777777" w:rsidR="008B720C" w:rsidRDefault="008B720C" w:rsidP="002C45B0"/>
    <w:p w14:paraId="45849F12" w14:textId="4CC9F6A5" w:rsidR="00772734" w:rsidRDefault="00772734" w:rsidP="005A07F5">
      <w:pPr>
        <w:ind w:firstLine="227"/>
      </w:pPr>
      <w:r w:rsidRPr="00193994">
        <w:t xml:space="preserve">Beoordeling: </w:t>
      </w:r>
      <w:r>
        <w:t>Onvoldoende = 1, Matig = 2, Voldoende = 3, Goed</w:t>
      </w:r>
      <w:r w:rsidRPr="00193994">
        <w:t xml:space="preserve"> = 4</w:t>
      </w:r>
    </w:p>
    <w:p w14:paraId="7B07EA36" w14:textId="77777777" w:rsidR="00E6061C" w:rsidRPr="00193994" w:rsidRDefault="00E6061C" w:rsidP="005A07F5">
      <w:pPr>
        <w:ind w:firstLine="227"/>
      </w:pPr>
    </w:p>
    <w:p w14:paraId="4698A29C" w14:textId="56854D30" w:rsidR="008624F0" w:rsidRDefault="009C7D08" w:rsidP="008624F0">
      <w:pPr>
        <w:pStyle w:val="Heading2"/>
        <w:tabs>
          <w:tab w:val="left" w:pos="-1162"/>
          <w:tab w:val="left" w:pos="0"/>
          <w:tab w:val="num" w:pos="1160"/>
        </w:tabs>
        <w:spacing w:line="240" w:lineRule="auto"/>
        <w:ind w:hanging="1162"/>
      </w:pPr>
      <w:bookmarkStart w:id="45" w:name="_Toc410140912"/>
      <w:bookmarkStart w:id="46" w:name="_Toc490833571"/>
      <w:r>
        <w:t>5</w:t>
      </w:r>
      <w:r w:rsidR="003331DA">
        <w:t>.</w:t>
      </w:r>
      <w:r w:rsidR="00195B13">
        <w:t>2</w:t>
      </w:r>
      <w:r w:rsidR="008624F0">
        <w:tab/>
        <w:t>Overige relevantie</w:t>
      </w:r>
      <w:bookmarkEnd w:id="45"/>
      <w:bookmarkEnd w:id="46"/>
      <w:r w:rsidR="0057402A">
        <w:t xml:space="preserve"> </w:t>
      </w:r>
    </w:p>
    <w:p w14:paraId="2049C713" w14:textId="5F732037" w:rsidR="00573652" w:rsidRDefault="00573652" w:rsidP="008624F0">
      <w:r w:rsidRPr="00573652">
        <w:t xml:space="preserve">De ILO heeft een unieke, normerende taak in het VN-systeem op het gebied van fundamentele arbeids- en mensenrechten. Het bevorderen van internationale arbeidsnormen door verdragen en aanbevelingen– en het toezicht houden op de naleving ervan– draagt bij aan de ontwikkeling van de rechtstaat, de bevordering van goed bestuur en de bevordering van fatsoenlijk werk wereldwijd. </w:t>
      </w:r>
      <w:r w:rsidR="00E95212">
        <w:t xml:space="preserve">De fundamentele arbeidsnormen vormen een integraal onderdeel van het Nederlands mensenrechtenbeleid. De internationale regelgeving op het gebied van arbeid bevordert een wereldwijd </w:t>
      </w:r>
      <w:r w:rsidR="00E95212" w:rsidRPr="000728EA">
        <w:rPr>
          <w:i/>
        </w:rPr>
        <w:t>level-playingfield</w:t>
      </w:r>
      <w:r w:rsidR="00E95212">
        <w:t xml:space="preserve">, wat ook ten voordele is voor het Nederlandse bedrijfsleven en werknemers. Nederland heeft alle acht fundamentele en vier prioritaire verdragen </w:t>
      </w:r>
      <w:r w:rsidR="00ED6C2B">
        <w:t>geratificeerd</w:t>
      </w:r>
      <w:r w:rsidR="00E95212">
        <w:t xml:space="preserve">. De Nederlandse sociale partners spelen een controlerende rol binnen de ILO op het naleven van geratificeerde verdragen. </w:t>
      </w:r>
      <w:r w:rsidR="00687CA4">
        <w:t xml:space="preserve">De normatieve functie van de ILO kan verder verbeterd worden door het moderniseren van verouderde en prescriptieve verdragen. Daarnaast moet het </w:t>
      </w:r>
      <w:r w:rsidR="00ED6C2B">
        <w:t>toezicht mechanisme</w:t>
      </w:r>
      <w:r w:rsidR="00687CA4">
        <w:t xml:space="preserve"> van de ILO uit een diep dal komen na een crisis van 2012.</w:t>
      </w:r>
      <w:r w:rsidR="00E95212">
        <w:rPr>
          <w:rStyle w:val="FootnoteReference"/>
        </w:rPr>
        <w:footnoteReference w:id="8"/>
      </w:r>
      <w:r w:rsidR="00E95212">
        <w:t xml:space="preserve"> </w:t>
      </w:r>
      <w:r w:rsidRPr="00573652">
        <w:t xml:space="preserve">De ILO heeft ook een bijzondere toegevoegde waarde met het zogenaamde </w:t>
      </w:r>
      <w:r w:rsidRPr="0019197B">
        <w:rPr>
          <w:i/>
        </w:rPr>
        <w:t>Administrative Tribunal</w:t>
      </w:r>
      <w:r w:rsidRPr="00573652">
        <w:t xml:space="preserve">, een beroepslichaam voor arbeidsgeschillen binnen internationale organisaties (waaronder VN-organisaties). De </w:t>
      </w:r>
      <w:r w:rsidRPr="003553A7">
        <w:rPr>
          <w:i/>
        </w:rPr>
        <w:t>Decent Work Agenda</w:t>
      </w:r>
      <w:r>
        <w:t xml:space="preserve">, </w:t>
      </w:r>
      <w:r>
        <w:lastRenderedPageBreak/>
        <w:t xml:space="preserve">het mandaat van de ILO, </w:t>
      </w:r>
      <w:r w:rsidRPr="00573652">
        <w:t xml:space="preserve">draagt bij aan de Post-2015 agenda (o.a. </w:t>
      </w:r>
      <w:r w:rsidR="00F32217">
        <w:t>fatsoenlijk werk</w:t>
      </w:r>
      <w:r>
        <w:t xml:space="preserve">, kinderarbeid, </w:t>
      </w:r>
      <w:r w:rsidRPr="00ED6C2B">
        <w:rPr>
          <w:i/>
        </w:rPr>
        <w:t>social protection floors</w:t>
      </w:r>
      <w:r w:rsidRPr="00573652">
        <w:t>). De ILO stimuleert de internationale ontwikkeling van onafhankelijke werknemers- en werkgeversorganisaties. De ILO bevordert de sociale dialoog en het ‘tripartism</w:t>
      </w:r>
      <w:r w:rsidR="0065558F">
        <w:t xml:space="preserve">e’ door middel van trainingen. Landen refereren in het handelsbeleid steeds vaker naar ILO-verdragen in duurzaamheidshoofdstukken; niet-naleving van ILO-verdragen zou kunnen leiden tot opschorting handelspreferenties. Het ILO </w:t>
      </w:r>
      <w:r w:rsidR="00ED6C2B">
        <w:t>toezicht mechanisme</w:t>
      </w:r>
      <w:r w:rsidR="0065558F">
        <w:t xml:space="preserve"> zou hier een rol kunnen spelen. </w:t>
      </w:r>
    </w:p>
    <w:p w14:paraId="07A28A40" w14:textId="77777777" w:rsidR="002B7582" w:rsidRDefault="002B7582" w:rsidP="002B75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1926"/>
        <w:gridCol w:w="1942"/>
        <w:gridCol w:w="1923"/>
      </w:tblGrid>
      <w:tr w:rsidR="00A00A08" w14:paraId="36983A0D" w14:textId="77777777" w:rsidTr="00B618CB">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70BB129" w14:textId="39F17983" w:rsidR="00A00A08" w:rsidRPr="00B06CE6" w:rsidRDefault="00A00A08" w:rsidP="00A00A08">
            <w:pPr>
              <w:rPr>
                <w:b/>
              </w:rPr>
            </w:pPr>
            <w:r>
              <w:rPr>
                <w:b/>
              </w:rPr>
              <w:t>Overige Relevantie</w:t>
            </w:r>
          </w:p>
        </w:tc>
      </w:tr>
      <w:tr w:rsidR="00587797" w14:paraId="7AF66CDE" w14:textId="77777777" w:rsidTr="00B618CB">
        <w:tc>
          <w:tcPr>
            <w:tcW w:w="1906" w:type="dxa"/>
            <w:tcBorders>
              <w:top w:val="single" w:sz="12" w:space="0" w:color="auto"/>
              <w:left w:val="single" w:sz="12" w:space="0" w:color="auto"/>
              <w:bottom w:val="single" w:sz="12" w:space="0" w:color="auto"/>
            </w:tcBorders>
            <w:shd w:val="clear" w:color="auto" w:fill="BFBFBF" w:themeFill="background1" w:themeFillShade="BF"/>
          </w:tcPr>
          <w:p w14:paraId="67D20B50" w14:textId="71D588ED" w:rsidR="00587797" w:rsidRPr="00B06CE6" w:rsidRDefault="00587797" w:rsidP="00755248">
            <w:pPr>
              <w:rPr>
                <w:i/>
              </w:rPr>
            </w:pPr>
          </w:p>
        </w:tc>
        <w:tc>
          <w:tcPr>
            <w:tcW w:w="1926" w:type="dxa"/>
            <w:tcBorders>
              <w:top w:val="single" w:sz="12" w:space="0" w:color="auto"/>
              <w:bottom w:val="single" w:sz="12" w:space="0" w:color="auto"/>
            </w:tcBorders>
            <w:shd w:val="clear" w:color="auto" w:fill="BFBFBF" w:themeFill="background1" w:themeFillShade="BF"/>
          </w:tcPr>
          <w:p w14:paraId="47368DEA" w14:textId="77777777" w:rsidR="00587797" w:rsidRPr="00B06CE6" w:rsidRDefault="00587797" w:rsidP="00D67F8F">
            <w:pPr>
              <w:rPr>
                <w:b/>
              </w:rPr>
            </w:pPr>
            <w:r w:rsidRPr="00B06CE6">
              <w:rPr>
                <w:b/>
              </w:rPr>
              <w:t>Uitvoerend</w:t>
            </w:r>
          </w:p>
        </w:tc>
        <w:tc>
          <w:tcPr>
            <w:tcW w:w="1942" w:type="dxa"/>
            <w:tcBorders>
              <w:top w:val="single" w:sz="12" w:space="0" w:color="auto"/>
              <w:bottom w:val="single" w:sz="12" w:space="0" w:color="auto"/>
            </w:tcBorders>
            <w:shd w:val="clear" w:color="auto" w:fill="BFBFBF" w:themeFill="background1" w:themeFillShade="BF"/>
          </w:tcPr>
          <w:p w14:paraId="35442DAA" w14:textId="77777777" w:rsidR="00587797" w:rsidRPr="00B06CE6" w:rsidRDefault="00587797" w:rsidP="00D67F8F">
            <w:pPr>
              <w:rPr>
                <w:b/>
              </w:rPr>
            </w:pPr>
            <w:r w:rsidRPr="00B06CE6">
              <w:rPr>
                <w:b/>
              </w:rPr>
              <w:t>Coördinerend</w:t>
            </w:r>
          </w:p>
        </w:tc>
        <w:tc>
          <w:tcPr>
            <w:tcW w:w="1923" w:type="dxa"/>
            <w:tcBorders>
              <w:top w:val="single" w:sz="12" w:space="0" w:color="auto"/>
              <w:bottom w:val="single" w:sz="12" w:space="0" w:color="auto"/>
              <w:right w:val="single" w:sz="12" w:space="0" w:color="auto"/>
            </w:tcBorders>
            <w:shd w:val="clear" w:color="auto" w:fill="BFBFBF" w:themeFill="background1" w:themeFillShade="BF"/>
          </w:tcPr>
          <w:p w14:paraId="6546AEAE" w14:textId="77777777" w:rsidR="00587797" w:rsidRPr="00B06CE6" w:rsidRDefault="00587797" w:rsidP="00D67F8F">
            <w:pPr>
              <w:rPr>
                <w:b/>
              </w:rPr>
            </w:pPr>
            <w:r w:rsidRPr="00B06CE6">
              <w:rPr>
                <w:b/>
              </w:rPr>
              <w:t>Normatief</w:t>
            </w:r>
          </w:p>
        </w:tc>
      </w:tr>
      <w:tr w:rsidR="00587797" w14:paraId="632E6211" w14:textId="77777777" w:rsidTr="00E1058B">
        <w:tc>
          <w:tcPr>
            <w:tcW w:w="1906" w:type="dxa"/>
            <w:tcBorders>
              <w:top w:val="single" w:sz="12" w:space="0" w:color="auto"/>
              <w:left w:val="single" w:sz="12" w:space="0" w:color="auto"/>
              <w:bottom w:val="single" w:sz="12" w:space="0" w:color="auto"/>
            </w:tcBorders>
            <w:shd w:val="clear" w:color="auto" w:fill="auto"/>
          </w:tcPr>
          <w:p w14:paraId="224BCEBC" w14:textId="09BB0F51" w:rsidR="00587797" w:rsidRDefault="00446082" w:rsidP="00D67F8F">
            <w:r>
              <w:t>Bevorder</w:t>
            </w:r>
            <w:r w:rsidR="00BD0011">
              <w:t>en internationale arbeidsnormen</w:t>
            </w:r>
          </w:p>
        </w:tc>
        <w:tc>
          <w:tcPr>
            <w:tcW w:w="1926" w:type="dxa"/>
            <w:tcBorders>
              <w:top w:val="single" w:sz="12" w:space="0" w:color="auto"/>
              <w:bottom w:val="single" w:sz="12" w:space="0" w:color="auto"/>
            </w:tcBorders>
            <w:shd w:val="clear" w:color="auto" w:fill="auto"/>
          </w:tcPr>
          <w:p w14:paraId="14EC37A9" w14:textId="05A71C7F" w:rsidR="00587797" w:rsidRDefault="00587797" w:rsidP="00D67F8F"/>
        </w:tc>
        <w:tc>
          <w:tcPr>
            <w:tcW w:w="1942" w:type="dxa"/>
            <w:tcBorders>
              <w:top w:val="single" w:sz="12" w:space="0" w:color="auto"/>
              <w:bottom w:val="single" w:sz="12" w:space="0" w:color="auto"/>
            </w:tcBorders>
            <w:shd w:val="clear" w:color="auto" w:fill="auto"/>
          </w:tcPr>
          <w:p w14:paraId="3B1A9ED7" w14:textId="77777777" w:rsidR="00587797" w:rsidRDefault="00587797" w:rsidP="00D67F8F"/>
        </w:tc>
        <w:tc>
          <w:tcPr>
            <w:tcW w:w="1923" w:type="dxa"/>
            <w:tcBorders>
              <w:top w:val="single" w:sz="12" w:space="0" w:color="auto"/>
              <w:bottom w:val="single" w:sz="12" w:space="0" w:color="auto"/>
              <w:right w:val="single" w:sz="12" w:space="0" w:color="auto"/>
            </w:tcBorders>
            <w:shd w:val="clear" w:color="auto" w:fill="auto"/>
          </w:tcPr>
          <w:p w14:paraId="268A7529" w14:textId="52787081" w:rsidR="00587797" w:rsidRDefault="00446082" w:rsidP="00F45B36">
            <w:r>
              <w:t>4</w:t>
            </w:r>
          </w:p>
        </w:tc>
      </w:tr>
    </w:tbl>
    <w:p w14:paraId="0A12A631" w14:textId="77777777" w:rsidR="00587797" w:rsidRDefault="00587797" w:rsidP="00D67F8F"/>
    <w:p w14:paraId="51CC7DFE" w14:textId="77777777" w:rsidR="00587797" w:rsidRPr="00193994" w:rsidRDefault="00587797" w:rsidP="005A07F5">
      <w:pPr>
        <w:ind w:firstLine="227"/>
      </w:pPr>
      <w:r w:rsidRPr="00193994">
        <w:t xml:space="preserve">Beoordeling: </w:t>
      </w:r>
      <w:r>
        <w:t>Onvoldoende = 1, Matig = 2, Voldoende = 3, Goed</w:t>
      </w:r>
      <w:r w:rsidRPr="00193994">
        <w:t xml:space="preserve"> = 4</w:t>
      </w:r>
    </w:p>
    <w:p w14:paraId="5DC7B730" w14:textId="77777777" w:rsidR="00F50554" w:rsidRDefault="00F50554" w:rsidP="00D94DB4"/>
    <w:p w14:paraId="6780ED6F" w14:textId="77777777" w:rsidR="00D358D8" w:rsidRPr="00D745A7" w:rsidRDefault="00D358D8" w:rsidP="00A35BEC"/>
    <w:sectPr w:rsidR="00D358D8" w:rsidRPr="00D745A7" w:rsidSect="006E555B">
      <w:endnotePr>
        <w:numFmt w:val="decimal"/>
      </w:endnotePr>
      <w:type w:val="continuous"/>
      <w:pgSz w:w="11906" w:h="16838" w:code="9"/>
      <w:pgMar w:top="2517" w:right="958" w:bottom="1077" w:left="3221" w:header="198"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D3D20" w14:textId="77777777" w:rsidR="008F25FA" w:rsidRDefault="008F25FA">
      <w:r>
        <w:separator/>
      </w:r>
    </w:p>
    <w:p w14:paraId="4B5EE4CB" w14:textId="77777777" w:rsidR="008F25FA" w:rsidRDefault="008F25FA"/>
    <w:p w14:paraId="127C165E" w14:textId="77777777" w:rsidR="008F25FA" w:rsidRDefault="008F25FA"/>
  </w:endnote>
  <w:endnote w:type="continuationSeparator" w:id="0">
    <w:p w14:paraId="773E9859" w14:textId="77777777" w:rsidR="008F25FA" w:rsidRDefault="008F25FA">
      <w:r>
        <w:continuationSeparator/>
      </w:r>
    </w:p>
    <w:p w14:paraId="376772D0" w14:textId="77777777" w:rsidR="008F25FA" w:rsidRDefault="008F25FA"/>
    <w:p w14:paraId="16AC5F5F" w14:textId="77777777" w:rsidR="008F25FA" w:rsidRDefault="008F25FA"/>
  </w:endnote>
  <w:endnote w:type="continuationNotice" w:id="1">
    <w:p w14:paraId="63738B24" w14:textId="77777777" w:rsidR="008F25FA" w:rsidRDefault="008F25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Emoji">
    <w:altName w:val="Segoe UI Symbol"/>
    <w:panose1 w:val="020B0502040204020203"/>
    <w:charset w:val="00"/>
    <w:family w:val="swiss"/>
    <w:pitch w:val="variable"/>
    <w:sig w:usb0="00000003" w:usb1="02000000" w:usb2="00000000" w:usb3="00000000" w:csb0="00000001" w:csb1="00000000"/>
  </w:font>
  <w:font w:name="Calibri,Verdana">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8F25FA" w:rsidRPr="00785F18" w14:paraId="2D36792E" w14:textId="77777777" w:rsidTr="003B518B">
      <w:trPr>
        <w:trHeight w:hRule="exact" w:val="240"/>
      </w:trPr>
      <w:tc>
        <w:tcPr>
          <w:tcW w:w="7752" w:type="dxa"/>
          <w:gridSpan w:val="3"/>
          <w:shd w:val="clear" w:color="auto" w:fill="auto"/>
        </w:tcPr>
        <w:p w14:paraId="3F91C35E" w14:textId="77777777" w:rsidR="008F25FA" w:rsidRPr="00785F18" w:rsidRDefault="008F25FA">
          <w:pPr>
            <w:spacing w:line="240" w:lineRule="auto"/>
          </w:pPr>
        </w:p>
      </w:tc>
    </w:tr>
    <w:tr w:rsidR="008F25FA" w:rsidRPr="00785F18" w14:paraId="493BCC27" w14:textId="77777777" w:rsidTr="003B518B">
      <w:trPr>
        <w:gridAfter w:val="1"/>
        <w:wAfter w:w="99" w:type="dxa"/>
        <w:trHeight w:hRule="exact" w:val="240"/>
      </w:trPr>
      <w:tc>
        <w:tcPr>
          <w:tcW w:w="6260" w:type="dxa"/>
          <w:shd w:val="clear" w:color="auto" w:fill="auto"/>
        </w:tcPr>
        <w:p w14:paraId="1E47ED48" w14:textId="0D10F8BF" w:rsidR="008F25FA" w:rsidRPr="00785F18" w:rsidRDefault="000B1EF3" w:rsidP="003B518B">
          <w:pPr>
            <w:pStyle w:val="Huisstijl-Paginanummering"/>
            <w:rPr>
              <w:rStyle w:val="Huisstijl-Rubricering"/>
            </w:rPr>
          </w:pPr>
          <w:r>
            <w:fldChar w:fldCharType="begin"/>
          </w:r>
          <w:r>
            <w:instrText xml:space="preserve"> DOCPROPERTY  L_PAGE  \* MERGEFORMAT </w:instrText>
          </w:r>
          <w:r>
            <w:fldChar w:fldCharType="separate"/>
          </w:r>
          <w:r w:rsidR="008F25FA">
            <w:t>Pagina</w:t>
          </w:r>
          <w:r>
            <w:fldChar w:fldCharType="end"/>
          </w:r>
          <w:r w:rsidR="008F25FA" w:rsidRPr="00785F18">
            <w:t xml:space="preserve"> </w:t>
          </w:r>
          <w:r w:rsidR="008F25FA">
            <w:fldChar w:fldCharType="begin"/>
          </w:r>
          <w:r w:rsidR="008F25FA">
            <w:instrText xml:space="preserve"> PAGE   \* MERGEFORMAT </w:instrText>
          </w:r>
          <w:r w:rsidR="008F25FA">
            <w:fldChar w:fldCharType="separate"/>
          </w:r>
          <w:r w:rsidR="008F25FA">
            <w:t>24</w:t>
          </w:r>
          <w:r w:rsidR="008F25FA">
            <w:fldChar w:fldCharType="end"/>
          </w:r>
          <w:r w:rsidR="008F25FA" w:rsidRPr="00785F18">
            <w:t xml:space="preserve"> </w:t>
          </w:r>
          <w:r>
            <w:fldChar w:fldCharType="begin"/>
          </w:r>
          <w:r>
            <w:instrText xml:space="preserve"> DOCPROPERTY  L_PAGEOF  \* MERGEFORMAT </w:instrText>
          </w:r>
          <w:r>
            <w:fldChar w:fldCharType="separate"/>
          </w:r>
          <w:r w:rsidR="008F25FA">
            <w:t>van</w:t>
          </w:r>
          <w:r>
            <w:fldChar w:fldCharType="end"/>
          </w:r>
          <w:r w:rsidR="008F25FA" w:rsidRPr="00785F18">
            <w:t xml:space="preserve"> </w:t>
          </w:r>
          <w:r>
            <w:fldChar w:fldCharType="begin"/>
          </w:r>
          <w:r>
            <w:instrText xml:space="preserve"> NUMPAGES   \* MERGEFORMAT </w:instrText>
          </w:r>
          <w:r>
            <w:fldChar w:fldCharType="separate"/>
          </w:r>
          <w:r w:rsidR="008F25FA">
            <w:t>2</w:t>
          </w:r>
          <w:r>
            <w:fldChar w:fldCharType="end"/>
          </w:r>
        </w:p>
      </w:tc>
      <w:tc>
        <w:tcPr>
          <w:tcW w:w="1392" w:type="dxa"/>
        </w:tcPr>
        <w:p w14:paraId="76578EBC" w14:textId="77777777" w:rsidR="008F25FA" w:rsidRPr="00785F18" w:rsidRDefault="008F25FA" w:rsidP="003B518B">
          <w:pPr>
            <w:pStyle w:val="Huisstijl-Paginanummering"/>
            <w:jc w:val="right"/>
          </w:pPr>
        </w:p>
      </w:tc>
    </w:tr>
  </w:tbl>
  <w:p w14:paraId="524F5149" w14:textId="77777777" w:rsidR="008F25FA" w:rsidRPr="00785F18" w:rsidRDefault="008F25FA" w:rsidP="003B518B">
    <w:pP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595923543"/>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22C5B59D" w14:textId="2C2FA237" w:rsidR="008F25FA" w:rsidRPr="005A502E" w:rsidRDefault="008F25FA">
            <w:pPr>
              <w:pStyle w:val="Footer"/>
              <w:jc w:val="right"/>
              <w:rPr>
                <w:sz w:val="16"/>
                <w:szCs w:val="16"/>
              </w:rPr>
            </w:pPr>
            <w:r w:rsidRPr="005A502E">
              <w:rPr>
                <w:sz w:val="16"/>
                <w:szCs w:val="16"/>
              </w:rPr>
              <w:t xml:space="preserve">Pagina </w:t>
            </w:r>
            <w:r w:rsidRPr="005A502E">
              <w:rPr>
                <w:bCs/>
                <w:sz w:val="16"/>
                <w:szCs w:val="16"/>
              </w:rPr>
              <w:fldChar w:fldCharType="begin"/>
            </w:r>
            <w:r w:rsidRPr="005A502E">
              <w:rPr>
                <w:bCs/>
                <w:sz w:val="16"/>
                <w:szCs w:val="16"/>
              </w:rPr>
              <w:instrText>PAGE</w:instrText>
            </w:r>
            <w:r w:rsidRPr="005A502E">
              <w:rPr>
                <w:bCs/>
                <w:sz w:val="16"/>
                <w:szCs w:val="16"/>
              </w:rPr>
              <w:fldChar w:fldCharType="separate"/>
            </w:r>
            <w:r w:rsidR="000B1EF3">
              <w:rPr>
                <w:bCs/>
                <w:noProof/>
                <w:sz w:val="16"/>
                <w:szCs w:val="16"/>
              </w:rPr>
              <w:t>10</w:t>
            </w:r>
            <w:r w:rsidRPr="005A502E">
              <w:rPr>
                <w:bCs/>
                <w:sz w:val="16"/>
                <w:szCs w:val="16"/>
              </w:rPr>
              <w:fldChar w:fldCharType="end"/>
            </w:r>
            <w:r w:rsidRPr="005A502E">
              <w:rPr>
                <w:sz w:val="16"/>
                <w:szCs w:val="16"/>
              </w:rPr>
              <w:t xml:space="preserve"> van </w:t>
            </w:r>
            <w:r w:rsidRPr="005A502E">
              <w:rPr>
                <w:bCs/>
                <w:sz w:val="16"/>
                <w:szCs w:val="16"/>
              </w:rPr>
              <w:fldChar w:fldCharType="begin"/>
            </w:r>
            <w:r w:rsidRPr="005A502E">
              <w:rPr>
                <w:bCs/>
                <w:sz w:val="16"/>
                <w:szCs w:val="16"/>
              </w:rPr>
              <w:instrText>NUMPAGES</w:instrText>
            </w:r>
            <w:r w:rsidRPr="005A502E">
              <w:rPr>
                <w:bCs/>
                <w:sz w:val="16"/>
                <w:szCs w:val="16"/>
              </w:rPr>
              <w:fldChar w:fldCharType="separate"/>
            </w:r>
            <w:r w:rsidR="000B1EF3">
              <w:rPr>
                <w:bCs/>
                <w:noProof/>
                <w:sz w:val="16"/>
                <w:szCs w:val="16"/>
              </w:rPr>
              <w:t>24</w:t>
            </w:r>
            <w:r w:rsidRPr="005A502E">
              <w:rPr>
                <w:bCs/>
                <w:sz w:val="16"/>
                <w:szCs w:val="16"/>
              </w:rPr>
              <w:fldChar w:fldCharType="end"/>
            </w:r>
          </w:p>
        </w:sdtContent>
      </w:sdt>
    </w:sdtContent>
  </w:sdt>
  <w:p w14:paraId="71A361F3" w14:textId="77777777" w:rsidR="008F25FA" w:rsidRPr="00785F18" w:rsidRDefault="008F25FA" w:rsidP="003B518B">
    <w:pP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tblGrid>
    <w:tr w:rsidR="008F25FA" w:rsidRPr="00785F18" w14:paraId="7BDB41E1" w14:textId="77777777" w:rsidTr="00B06D4B">
      <w:trPr>
        <w:trHeight w:hRule="exact" w:val="240"/>
      </w:trPr>
      <w:tc>
        <w:tcPr>
          <w:tcW w:w="6260" w:type="dxa"/>
          <w:shd w:val="clear" w:color="auto" w:fill="auto"/>
        </w:tcPr>
        <w:p w14:paraId="4AF9CC3B" w14:textId="77777777" w:rsidR="008F25FA" w:rsidRPr="00785F18" w:rsidRDefault="008F25FA" w:rsidP="00B06D4B">
          <w:pPr>
            <w:rPr>
              <w:rStyle w:val="Huisstijl-Rubricering"/>
            </w:rPr>
          </w:pPr>
        </w:p>
      </w:tc>
    </w:tr>
  </w:tbl>
  <w:p w14:paraId="0B26FB36" w14:textId="77777777" w:rsidR="008F25FA" w:rsidRPr="00785F18" w:rsidRDefault="008F25FA" w:rsidP="00101F98">
    <w:pPr>
      <w:spacing w:line="240" w:lineRule="auto"/>
      <w:rPr>
        <w:sz w:val="2"/>
        <w:szCs w:val="2"/>
      </w:rPr>
    </w:pPr>
  </w:p>
  <w:p w14:paraId="0A5CDFC8" w14:textId="77777777" w:rsidR="008F25FA" w:rsidRPr="00785F18" w:rsidRDefault="008F25FA" w:rsidP="0039744C">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D96AB" w14:textId="77777777" w:rsidR="008F25FA" w:rsidRPr="00B35331" w:rsidRDefault="008F25FA" w:rsidP="00B35331">
      <w:pPr>
        <w:pStyle w:val="Footer"/>
      </w:pPr>
    </w:p>
  </w:footnote>
  <w:footnote w:type="continuationSeparator" w:id="0">
    <w:p w14:paraId="0D037BA1" w14:textId="77777777" w:rsidR="008F25FA" w:rsidRDefault="008F25FA">
      <w:r>
        <w:continuationSeparator/>
      </w:r>
    </w:p>
    <w:p w14:paraId="59AA99E4" w14:textId="77777777" w:rsidR="008F25FA" w:rsidRDefault="008F25FA"/>
    <w:p w14:paraId="00DEA7D5" w14:textId="77777777" w:rsidR="008F25FA" w:rsidRDefault="008F25FA"/>
  </w:footnote>
  <w:footnote w:type="continuationNotice" w:id="1">
    <w:p w14:paraId="439FA079" w14:textId="77777777" w:rsidR="008F25FA" w:rsidRDefault="008F25FA">
      <w:pPr>
        <w:spacing w:line="240" w:lineRule="auto"/>
      </w:pPr>
    </w:p>
  </w:footnote>
  <w:footnote w:id="2">
    <w:p w14:paraId="7BDB1CCD" w14:textId="339675E0" w:rsidR="008F25FA" w:rsidRDefault="008F25FA" w:rsidP="005150FC">
      <w:pPr>
        <w:pStyle w:val="FootnoteText"/>
      </w:pPr>
      <w:r>
        <w:rPr>
          <w:rStyle w:val="FootnoteReference"/>
        </w:rPr>
        <w:footnoteRef/>
      </w:r>
      <w:r>
        <w:t xml:space="preserve"> </w:t>
      </w:r>
      <w:r>
        <w:tab/>
        <w:t xml:space="preserve">Binnen MOPAN evalueert Nederland samen met 18 gelijkgezinde landen het functioneren van VN-organisaties en Internationale Financiële Instellingen. Vanaf 2015 worden, per keer, in een tweejaarlijkse cyclus, ongeveer 13 organisaties doorgelicht op organisatorisch functioneren en ontwikkelingseffectiviteit. </w:t>
      </w:r>
    </w:p>
  </w:footnote>
  <w:footnote w:id="3">
    <w:p w14:paraId="1BF588DC" w14:textId="6AAB97C1" w:rsidR="008F25FA" w:rsidRPr="004958A1" w:rsidRDefault="008F25FA">
      <w:pPr>
        <w:pStyle w:val="FootnoteText"/>
      </w:pPr>
      <w:r>
        <w:rPr>
          <w:rStyle w:val="FootnoteReference"/>
        </w:rPr>
        <w:footnoteRef/>
      </w:r>
      <w:r>
        <w:t xml:space="preserve"> </w:t>
      </w:r>
      <w:r>
        <w:rPr>
          <w:szCs w:val="22"/>
        </w:rPr>
        <w:t xml:space="preserve">De presentie van de ILO in ILO-lidstaten is regelmatig aan verandering onderhevig, om bijvoorbeeld snel in te kunnen spelen op specifieke uitdagingen of ontwikkelingen, of als gevolg van ILO-klachtenprocedures. Voor het meest actuele overzicht van de vertegenwoordiging van de ILO buiten Genève zij verwezen naar de website van de ILO.  </w:t>
      </w:r>
    </w:p>
  </w:footnote>
  <w:footnote w:id="4">
    <w:p w14:paraId="40F2A798" w14:textId="29D6360E" w:rsidR="008F25FA" w:rsidRPr="00A84269" w:rsidRDefault="008F25FA">
      <w:pPr>
        <w:pStyle w:val="FootnoteText"/>
      </w:pPr>
      <w:r>
        <w:rPr>
          <w:rStyle w:val="FootnoteReference"/>
        </w:rPr>
        <w:footnoteRef/>
      </w:r>
      <w:r>
        <w:t xml:space="preserve"> In november 2016 heeft de Beheersraad hiertoe een vierjarig strategisch plan aangenomen voor de periode 2018-2021. Zie: </w:t>
      </w:r>
      <w:r w:rsidRPr="00A84269">
        <w:t>http://www.ilo.org/gb/GBSessions/GB328/pfa/WCMS_531677/lang--en/index.htm</w:t>
      </w:r>
    </w:p>
  </w:footnote>
  <w:footnote w:id="5">
    <w:p w14:paraId="34634031" w14:textId="77777777" w:rsidR="008F25FA" w:rsidRPr="001454F5" w:rsidRDefault="008F25FA" w:rsidP="00E75648">
      <w:pPr>
        <w:pStyle w:val="FootnoteText"/>
      </w:pPr>
      <w:r>
        <w:rPr>
          <w:rStyle w:val="FootnoteReference"/>
        </w:rPr>
        <w:footnoteRef/>
      </w:r>
      <w:r>
        <w:t xml:space="preserve"> De cijfers voor 2016 zijn gebaseerd op het voorziene budget in het Programma &amp; Budget 2016-2017. </w:t>
      </w:r>
    </w:p>
  </w:footnote>
  <w:footnote w:id="6">
    <w:p w14:paraId="3FE5E2D1" w14:textId="4E4F4600" w:rsidR="008F25FA" w:rsidRPr="00F67DEF" w:rsidRDefault="008F25FA" w:rsidP="00F67DEF">
      <w:pPr>
        <w:pStyle w:val="FootnoteText"/>
      </w:pPr>
      <w:r>
        <w:rPr>
          <w:rStyle w:val="FootnoteReference"/>
        </w:rPr>
        <w:footnoteRef/>
      </w:r>
      <w:r>
        <w:t xml:space="preserve"> Dit was mede het gevolg van een discussie die Nederland in relatie tot het P&amp;B 2016-2017 had geïnitieerd. Omdat DG Ryder bij dat P&amp;B sterk afweek van eerdere P&amp;B en een eerste poging deed om het aantal resultaatsgebieden te verminderen, was er geen sprake van formele baselines voor de gestelde doelstellingen, op basis van voorgaande P&amp;B’s. Nederland heeft met de IMEC-groep met succes gelobbyd voor een addendum met baselines op basis van concrete landenactiviteiten van de ILO.</w:t>
      </w:r>
    </w:p>
  </w:footnote>
  <w:footnote w:id="7">
    <w:p w14:paraId="1E40C04C" w14:textId="77777777" w:rsidR="008F25FA" w:rsidRPr="001D756D" w:rsidRDefault="008F25FA" w:rsidP="00864054">
      <w:pPr>
        <w:pStyle w:val="FootnoteText"/>
      </w:pPr>
      <w:r>
        <w:rPr>
          <w:rStyle w:val="FootnoteReference"/>
        </w:rPr>
        <w:footnoteRef/>
      </w:r>
      <w:r>
        <w:t xml:space="preserve"> </w:t>
      </w:r>
      <w:r w:rsidRPr="274800A5">
        <w:rPr>
          <w:rFonts w:eastAsia="Verdana" w:cs="Verdana"/>
          <w:szCs w:val="18"/>
        </w:rPr>
        <w:t>NB: binnen de ILO is het bedrijfsleven vertegenwoordigd door werkgeversorganisaties; bedrijven zelf nemen over het alg</w:t>
      </w:r>
      <w:r>
        <w:rPr>
          <w:rFonts w:eastAsia="Verdana" w:cs="Verdana"/>
          <w:szCs w:val="18"/>
        </w:rPr>
        <w:t>emeen niet aan discussies deel.</w:t>
      </w:r>
    </w:p>
  </w:footnote>
  <w:footnote w:id="8">
    <w:p w14:paraId="7F7BE6AD" w14:textId="3A7F5E1D" w:rsidR="008F25FA" w:rsidRPr="00E95212" w:rsidRDefault="008F25FA">
      <w:pPr>
        <w:pStyle w:val="FootnoteText"/>
      </w:pPr>
      <w:r>
        <w:rPr>
          <w:rStyle w:val="FootnoteReference"/>
        </w:rPr>
        <w:footnoteRef/>
      </w:r>
      <w:r>
        <w:t xml:space="preserve"> </w:t>
      </w:r>
      <w:r w:rsidRPr="00E95212">
        <w:t xml:space="preserve">Het toezicht mechanisme komt uit een </w:t>
      </w:r>
      <w:r>
        <w:t xml:space="preserve">diep dal na een crisis in 2012. Er is consensus over manieren om het toezicht mechanisme te versterken, maar de toekomst van dit mechanisme blijft een punt van zorg. Het mechanisme is nog steeds relevant en tot op zekere hoogte effectief. Zo’n 75% van de aanbevelingen van het </w:t>
      </w:r>
      <w:r>
        <w:rPr>
          <w:i/>
        </w:rPr>
        <w:t>Committee on the Freedom of Association</w:t>
      </w:r>
      <w:r>
        <w:t xml:space="preserve"> worden bijvoorbeeld opgevolgd.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77BAE" w14:textId="77777777" w:rsidR="008F25FA" w:rsidRPr="00785F18" w:rsidRDefault="008F25FA">
    <w:pPr>
      <w:pStyle w:val="Header"/>
    </w:pPr>
  </w:p>
  <w:p w14:paraId="27DFB013" w14:textId="77777777" w:rsidR="008F25FA" w:rsidRPr="00785F18" w:rsidRDefault="008F25FA"/>
  <w:p w14:paraId="7231D2C9" w14:textId="77777777" w:rsidR="008F25FA" w:rsidRPr="00785F18" w:rsidRDefault="008F25F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94003" w14:textId="77777777" w:rsidR="008F25FA" w:rsidRPr="00785F18" w:rsidRDefault="008F25FA"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8F25FA" w:rsidRPr="008517DE" w14:paraId="4DEF5FEB" w14:textId="77777777" w:rsidTr="002E14E1">
      <w:trPr>
        <w:trHeight w:val="400"/>
      </w:trPr>
      <w:tc>
        <w:tcPr>
          <w:tcW w:w="7520" w:type="dxa"/>
          <w:shd w:val="clear" w:color="auto" w:fill="auto"/>
        </w:tcPr>
        <w:p w14:paraId="72BCD671" w14:textId="612E3DBF" w:rsidR="008F25FA" w:rsidRPr="006E555B" w:rsidRDefault="008F25FA" w:rsidP="000C3F27">
          <w:pPr>
            <w:adjustRightInd w:val="0"/>
            <w:spacing w:line="180" w:lineRule="exact"/>
            <w:rPr>
              <w:sz w:val="13"/>
            </w:rPr>
          </w:pPr>
          <w:r>
            <w:rPr>
              <w:rStyle w:val="Huisstijl-Koptekst"/>
            </w:rPr>
            <w:fldChar w:fldCharType="begin"/>
          </w:r>
          <w:r>
            <w:rPr>
              <w:rStyle w:val="Huisstijl-Koptekst"/>
            </w:rPr>
            <w:instrText xml:space="preserve"> Titel </w:instrText>
          </w:r>
          <w:r>
            <w:rPr>
              <w:rStyle w:val="Huisstijl-Koptekst"/>
            </w:rPr>
            <w:fldChar w:fldCharType="separate"/>
          </w:r>
          <w:r w:rsidRPr="00B36546">
            <w:t>Scorecard</w:t>
          </w:r>
          <w:r>
            <w:rPr>
              <w:rStyle w:val="Huisstijl-Koptekst"/>
            </w:rPr>
            <w:fldChar w:fldCharType="end"/>
          </w:r>
          <w:r w:rsidRPr="008517DE">
            <w:rPr>
              <w:rStyle w:val="Huisstijl-Koptekst"/>
              <w:lang w:val="en-GB"/>
            </w:rPr>
            <w:t xml:space="preserve"> | </w:t>
          </w:r>
          <w:r>
            <w:rPr>
              <w:rStyle w:val="Huisstijl-Koptekst"/>
            </w:rPr>
            <w:t>International Labour Organization</w:t>
          </w:r>
        </w:p>
      </w:tc>
    </w:tr>
  </w:tbl>
  <w:p w14:paraId="703CD159" w14:textId="77777777" w:rsidR="008F25FA" w:rsidRPr="008517DE" w:rsidRDefault="008F25FA" w:rsidP="000D7BB7">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C72F" w14:textId="12BD8EEA" w:rsidR="008F25FA" w:rsidRPr="00785F18" w:rsidRDefault="008F25FA" w:rsidP="006E263E">
    <w:r>
      <w:rPr>
        <w:noProof/>
      </w:rPr>
      <mc:AlternateContent>
        <mc:Choice Requires="wps">
          <w:drawing>
            <wp:anchor distT="0" distB="0" distL="114300" distR="114300" simplePos="0" relativeHeight="251658240" behindDoc="0" locked="0" layoutInCell="1" allowOverlap="1" wp14:anchorId="6F3F4EBC" wp14:editId="3D30C335">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8F25FA" w14:paraId="010C4D3F" w14:textId="77777777">
                            <w:trPr>
                              <w:trHeight w:val="2636"/>
                            </w:trPr>
                            <w:tc>
                              <w:tcPr>
                                <w:tcW w:w="737" w:type="dxa"/>
                                <w:shd w:val="clear" w:color="auto" w:fill="auto"/>
                              </w:tcPr>
                              <w:p w14:paraId="2C6E0D79" w14:textId="77777777" w:rsidR="008F25FA" w:rsidRDefault="008F25FA" w:rsidP="006E263E">
                                <w:pPr>
                                  <w:spacing w:line="240" w:lineRule="auto"/>
                                </w:pPr>
                                <w:bookmarkStart w:id="4" w:name="bm_BZlogo"/>
                                <w:bookmarkEnd w:id="4"/>
                                <w:r>
                                  <w:rPr>
                                    <w:noProof/>
                                  </w:rPr>
                                  <w:drawing>
                                    <wp:inline distT="0" distB="0" distL="0" distR="0" wp14:anchorId="3B086092" wp14:editId="07777777">
                                      <wp:extent cx="467995" cy="1584960"/>
                                      <wp:effectExtent l="0" t="0" r="8255"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1584960"/>
                                              </a:xfrm>
                                              <a:prstGeom prst="rect">
                                                <a:avLst/>
                                              </a:prstGeom>
                                              <a:noFill/>
                                              <a:ln>
                                                <a:noFill/>
                                              </a:ln>
                                            </pic:spPr>
                                          </pic:pic>
                                        </a:graphicData>
                                      </a:graphic>
                                    </wp:inline>
                                  </w:drawing>
                                </w:r>
                              </w:p>
                            </w:tc>
                            <w:tc>
                              <w:tcPr>
                                <w:tcW w:w="5383" w:type="dxa"/>
                                <w:shd w:val="clear" w:color="auto" w:fill="auto"/>
                              </w:tcPr>
                              <w:p w14:paraId="6EBE74CA" w14:textId="77777777" w:rsidR="008F25FA" w:rsidRDefault="008F25FA" w:rsidP="006E263E">
                                <w:pPr>
                                  <w:spacing w:line="240" w:lineRule="auto"/>
                                </w:pPr>
                                <w:r>
                                  <w:rPr>
                                    <w:noProof/>
                                  </w:rPr>
                                  <w:drawing>
                                    <wp:inline distT="0" distB="0" distL="0" distR="0" wp14:anchorId="147D1F02" wp14:editId="07777777">
                                      <wp:extent cx="2443480" cy="1652905"/>
                                      <wp:effectExtent l="0" t="0" r="0" b="4445"/>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3480" cy="1652905"/>
                                              </a:xfrm>
                                              <a:prstGeom prst="rect">
                                                <a:avLst/>
                                              </a:prstGeom>
                                              <a:noFill/>
                                              <a:ln>
                                                <a:noFill/>
                                              </a:ln>
                                            </pic:spPr>
                                          </pic:pic>
                                        </a:graphicData>
                                      </a:graphic>
                                    </wp:inline>
                                  </w:drawing>
                                </w:r>
                              </w:p>
                            </w:tc>
                          </w:tr>
                        </w:tbl>
                        <w:p w14:paraId="1E371A74" w14:textId="77777777" w:rsidR="008F25FA" w:rsidRDefault="008F25FA"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F4EBC"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8F25FA" w14:paraId="010C4D3F" w14:textId="77777777">
                      <w:trPr>
                        <w:trHeight w:val="2636"/>
                      </w:trPr>
                      <w:tc>
                        <w:tcPr>
                          <w:tcW w:w="737" w:type="dxa"/>
                          <w:shd w:val="clear" w:color="auto" w:fill="auto"/>
                        </w:tcPr>
                        <w:p w14:paraId="2C6E0D79" w14:textId="77777777" w:rsidR="008F25FA" w:rsidRDefault="008F25FA" w:rsidP="006E263E">
                          <w:pPr>
                            <w:spacing w:line="240" w:lineRule="auto"/>
                          </w:pPr>
                          <w:bookmarkStart w:id="5" w:name="bm_BZlogo"/>
                          <w:bookmarkEnd w:id="5"/>
                          <w:r>
                            <w:rPr>
                              <w:noProof/>
                            </w:rPr>
                            <w:drawing>
                              <wp:inline distT="0" distB="0" distL="0" distR="0" wp14:anchorId="3B086092" wp14:editId="07777777">
                                <wp:extent cx="467995" cy="1584960"/>
                                <wp:effectExtent l="0" t="0" r="8255"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1584960"/>
                                        </a:xfrm>
                                        <a:prstGeom prst="rect">
                                          <a:avLst/>
                                        </a:prstGeom>
                                        <a:noFill/>
                                        <a:ln>
                                          <a:noFill/>
                                        </a:ln>
                                      </pic:spPr>
                                    </pic:pic>
                                  </a:graphicData>
                                </a:graphic>
                              </wp:inline>
                            </w:drawing>
                          </w:r>
                        </w:p>
                      </w:tc>
                      <w:tc>
                        <w:tcPr>
                          <w:tcW w:w="5383" w:type="dxa"/>
                          <w:shd w:val="clear" w:color="auto" w:fill="auto"/>
                        </w:tcPr>
                        <w:p w14:paraId="6EBE74CA" w14:textId="77777777" w:rsidR="008F25FA" w:rsidRDefault="008F25FA" w:rsidP="006E263E">
                          <w:pPr>
                            <w:spacing w:line="240" w:lineRule="auto"/>
                          </w:pPr>
                          <w:r>
                            <w:rPr>
                              <w:noProof/>
                            </w:rPr>
                            <w:drawing>
                              <wp:inline distT="0" distB="0" distL="0" distR="0" wp14:anchorId="147D1F02" wp14:editId="07777777">
                                <wp:extent cx="2443480" cy="1652905"/>
                                <wp:effectExtent l="0" t="0" r="0" b="4445"/>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3480" cy="1652905"/>
                                        </a:xfrm>
                                        <a:prstGeom prst="rect">
                                          <a:avLst/>
                                        </a:prstGeom>
                                        <a:noFill/>
                                        <a:ln>
                                          <a:noFill/>
                                        </a:ln>
                                      </pic:spPr>
                                    </pic:pic>
                                  </a:graphicData>
                                </a:graphic>
                              </wp:inline>
                            </w:drawing>
                          </w:r>
                        </w:p>
                      </w:tc>
                    </w:tr>
                  </w:tbl>
                  <w:p w14:paraId="1E371A74" w14:textId="77777777" w:rsidR="008F25FA" w:rsidRDefault="008F25FA"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8F25FA" w:rsidRPr="00785F18" w14:paraId="6CCB3305" w14:textId="77777777" w:rsidTr="000A01F6">
      <w:trPr>
        <w:cantSplit/>
        <w:trHeight w:hRule="exact" w:val="3340"/>
      </w:trPr>
      <w:tc>
        <w:tcPr>
          <w:tcW w:w="5640" w:type="dxa"/>
          <w:shd w:val="clear" w:color="auto" w:fill="auto"/>
        </w:tcPr>
        <w:p w14:paraId="3EC359E8" w14:textId="77777777" w:rsidR="008F25FA" w:rsidRPr="00785F18" w:rsidRDefault="008F25FA" w:rsidP="00094B45">
          <w:pPr>
            <w:ind w:left="240" w:hanging="240"/>
          </w:pPr>
        </w:p>
      </w:tc>
    </w:tr>
    <w:tr w:rsidR="008F25FA" w:rsidRPr="00B36546" w14:paraId="0E3A539B" w14:textId="77777777" w:rsidTr="007B0280">
      <w:trPr>
        <w:cantSplit/>
        <w:trHeight w:hRule="exact" w:val="1440"/>
      </w:trPr>
      <w:tc>
        <w:tcPr>
          <w:tcW w:w="5640" w:type="dxa"/>
          <w:shd w:val="clear" w:color="auto" w:fill="auto"/>
        </w:tcPr>
        <w:p w14:paraId="5BD2BE47" w14:textId="77777777" w:rsidR="008F25FA" w:rsidRPr="00785F18" w:rsidRDefault="008F25FA" w:rsidP="000C0FB6">
          <w:pPr>
            <w:rPr>
              <w:rStyle w:val="Huisstijl-Rubricering"/>
              <w:smallCaps w:val="0"/>
            </w:rPr>
          </w:pPr>
        </w:p>
        <w:p w14:paraId="470D11FC" w14:textId="77777777" w:rsidR="008F25FA" w:rsidRPr="00785F18" w:rsidRDefault="008F25FA" w:rsidP="000C0FB6">
          <w:pPr>
            <w:spacing w:line="180" w:lineRule="atLeast"/>
            <w:rPr>
              <w:rStyle w:val="Huisstijl-Rubricering"/>
              <w:smallCaps w:val="0"/>
            </w:rPr>
          </w:pPr>
        </w:p>
        <w:p w14:paraId="719B6278" w14:textId="46E16A84" w:rsidR="008F25FA" w:rsidRDefault="008F25FA" w:rsidP="00B36546">
          <w:pPr>
            <w:pStyle w:val="Title"/>
          </w:pPr>
          <w:bookmarkStart w:id="6" w:name="titel"/>
          <w:r w:rsidRPr="00B36546">
            <w:t>Scorecard</w:t>
          </w:r>
          <w:bookmarkEnd w:id="6"/>
          <w:r>
            <w:t xml:space="preserve"> </w:t>
          </w:r>
          <w:bookmarkStart w:id="7" w:name="subtitel"/>
          <w:r>
            <w:t xml:space="preserve"> </w:t>
          </w:r>
          <w:bookmarkEnd w:id="7"/>
          <w:r>
            <w:rPr>
              <w:rStyle w:val="SubtitleChar"/>
            </w:rPr>
            <w:t>International Labour Organization</w:t>
          </w:r>
        </w:p>
        <w:p w14:paraId="26547358" w14:textId="77777777" w:rsidR="008F25FA" w:rsidRPr="00B36546" w:rsidRDefault="008F25FA" w:rsidP="00B36546">
          <w:pPr>
            <w:rPr>
              <w:lang w:val="en-GB"/>
            </w:rPr>
          </w:pPr>
        </w:p>
        <w:p w14:paraId="5AF4E40D" w14:textId="77777777" w:rsidR="008F25FA" w:rsidRPr="00B36546" w:rsidRDefault="008F25FA" w:rsidP="00B36546">
          <w:pPr>
            <w:tabs>
              <w:tab w:val="left" w:pos="3281"/>
            </w:tabs>
            <w:rPr>
              <w:lang w:val="en-GB"/>
            </w:rPr>
          </w:pPr>
          <w:r w:rsidRPr="00B36546">
            <w:rPr>
              <w:lang w:val="en-GB"/>
            </w:rPr>
            <w:tab/>
          </w:r>
        </w:p>
      </w:tc>
    </w:tr>
    <w:tr w:rsidR="008F25FA" w:rsidRPr="00B36546" w14:paraId="18399507" w14:textId="77777777" w:rsidTr="000A01F6">
      <w:trPr>
        <w:cantSplit/>
        <w:trHeight w:hRule="exact" w:val="240"/>
      </w:trPr>
      <w:tc>
        <w:tcPr>
          <w:tcW w:w="5640" w:type="dxa"/>
          <w:shd w:val="clear" w:color="auto" w:fill="auto"/>
        </w:tcPr>
        <w:p w14:paraId="4BBFAB93" w14:textId="77777777" w:rsidR="008F25FA" w:rsidRPr="00B36546" w:rsidRDefault="008F25FA" w:rsidP="00B60860">
          <w:pPr>
            <w:rPr>
              <w:lang w:val="en-GB"/>
            </w:rPr>
          </w:pPr>
        </w:p>
      </w:tc>
    </w:tr>
    <w:tr w:rsidR="008F25FA" w:rsidRPr="00B36546" w14:paraId="060AEF60" w14:textId="77777777" w:rsidTr="000A01F6">
      <w:trPr>
        <w:cantSplit/>
        <w:trHeight w:hRule="exact" w:val="480"/>
      </w:trPr>
      <w:tc>
        <w:tcPr>
          <w:tcW w:w="5640" w:type="dxa"/>
          <w:shd w:val="clear" w:color="auto" w:fill="auto"/>
        </w:tcPr>
        <w:p w14:paraId="3F35D992" w14:textId="77777777" w:rsidR="008F25FA" w:rsidRPr="00B36546" w:rsidRDefault="008F25FA" w:rsidP="00EF0ED5">
          <w:pPr>
            <w:rPr>
              <w:lang w:val="en-GB"/>
            </w:rPr>
          </w:pPr>
        </w:p>
      </w:tc>
    </w:tr>
  </w:tbl>
  <w:p w14:paraId="3B92EB4C" w14:textId="60F1FE75" w:rsidR="008F25FA" w:rsidRPr="00B36546" w:rsidRDefault="008F25FA">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15 augustus 2017</w:t>
    </w:r>
  </w:p>
  <w:p w14:paraId="68812ED9" w14:textId="77777777" w:rsidR="008F25FA" w:rsidRPr="00B36546" w:rsidRDefault="008F25FA">
    <w:pPr>
      <w:rPr>
        <w:lang w:val="en-GB"/>
      </w:rPr>
    </w:pPr>
  </w:p>
  <w:p w14:paraId="26084A9C" w14:textId="77777777" w:rsidR="008F25FA" w:rsidRPr="00785F18" w:rsidRDefault="008F25FA" w:rsidP="000602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1A16F" w14:textId="77777777" w:rsidR="008F25FA" w:rsidRPr="00785F18" w:rsidRDefault="008F25FA"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8F25FA" w:rsidRPr="008517DE" w14:paraId="22741B93" w14:textId="77777777" w:rsidTr="00B06D4B">
      <w:trPr>
        <w:trHeight w:val="400"/>
      </w:trPr>
      <w:tc>
        <w:tcPr>
          <w:tcW w:w="7520" w:type="dxa"/>
          <w:shd w:val="clear" w:color="auto" w:fill="auto"/>
        </w:tcPr>
        <w:p w14:paraId="61E59D6E" w14:textId="37A7FFD6" w:rsidR="008F25FA" w:rsidRPr="008517DE" w:rsidRDefault="000B1EF3" w:rsidP="00B06D4B">
          <w:pPr>
            <w:adjustRightInd w:val="0"/>
            <w:spacing w:line="180" w:lineRule="exact"/>
            <w:rPr>
              <w:sz w:val="13"/>
              <w:lang w:val="en-GB"/>
            </w:rPr>
          </w:pPr>
          <w:r>
            <w:fldChar w:fldCharType="begin"/>
          </w:r>
          <w:r>
            <w:instrText xml:space="preserve"> REF  titel  \* MERGEFORMAT </w:instrText>
          </w:r>
          <w:r>
            <w:fldChar w:fldCharType="separate"/>
          </w:r>
          <w:r w:rsidR="008F25FA" w:rsidRPr="008F25FA">
            <w:rPr>
              <w:rStyle w:val="Huisstijl-Koptekst"/>
              <w:sz w:val="18"/>
              <w:szCs w:val="18"/>
              <w:lang w:val="en-GB"/>
            </w:rPr>
            <w:t>Scorecard</w:t>
          </w:r>
          <w:r>
            <w:rPr>
              <w:rStyle w:val="Huisstijl-Koptekst"/>
              <w:sz w:val="18"/>
              <w:szCs w:val="18"/>
              <w:lang w:val="en-GB"/>
            </w:rPr>
            <w:fldChar w:fldCharType="end"/>
          </w:r>
          <w:r w:rsidR="008F25FA" w:rsidRPr="007B163C">
            <w:rPr>
              <w:rStyle w:val="Huisstijl-Koptekst"/>
              <w:lang w:val="en-GB"/>
            </w:rPr>
            <w:t xml:space="preserve"> | </w:t>
          </w:r>
          <w:r w:rsidR="008F25FA">
            <w:rPr>
              <w:rStyle w:val="Huisstijl-Koptekst"/>
              <w:lang w:val="en-GB"/>
            </w:rPr>
            <w:t>Organisatie</w:t>
          </w:r>
          <w:r w:rsidR="008F25FA" w:rsidRPr="008517DE">
            <w:rPr>
              <w:sz w:val="13"/>
              <w:lang w:val="en-GB"/>
            </w:rPr>
            <w:t xml:space="preserve"> </w:t>
          </w:r>
        </w:p>
      </w:tc>
    </w:tr>
  </w:tbl>
  <w:p w14:paraId="583C1513" w14:textId="77777777" w:rsidR="008F25FA" w:rsidRPr="008517DE" w:rsidRDefault="008F25FA"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15:restartNumberingAfterBreak="0">
    <w:nsid w:val="03BB5F57"/>
    <w:multiLevelType w:val="multilevel"/>
    <w:tmpl w:val="5AEEDE88"/>
    <w:numStyleLink w:val="StyleBulleted"/>
  </w:abstractNum>
  <w:abstractNum w:abstractNumId="2"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6"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623655D"/>
    <w:multiLevelType w:val="multilevel"/>
    <w:tmpl w:val="5AEEDE88"/>
    <w:numStyleLink w:val="StyleBulleted"/>
  </w:abstractNum>
  <w:abstractNum w:abstractNumId="8"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A5A20BC"/>
    <w:multiLevelType w:val="multilevel"/>
    <w:tmpl w:val="5AEEDE88"/>
    <w:numStyleLink w:val="StyleBulleted"/>
  </w:abstractNum>
  <w:abstractNum w:abstractNumId="10"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2"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2F82FF2"/>
    <w:multiLevelType w:val="multilevel"/>
    <w:tmpl w:val="5AEEDE88"/>
    <w:numStyleLink w:val="StyleBulleted"/>
  </w:abstractNum>
  <w:abstractNum w:abstractNumId="15"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72E4A80"/>
    <w:multiLevelType w:val="hybridMultilevel"/>
    <w:tmpl w:val="C316A3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8"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9"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2" w15:restartNumberingAfterBreak="0">
    <w:nsid w:val="408335F4"/>
    <w:multiLevelType w:val="multilevel"/>
    <w:tmpl w:val="5AEEDE88"/>
    <w:numStyleLink w:val="StyleBulleted"/>
  </w:abstractNum>
  <w:abstractNum w:abstractNumId="23"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4"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D750EE7"/>
    <w:multiLevelType w:val="multilevel"/>
    <w:tmpl w:val="5AEEDE88"/>
    <w:numStyleLink w:val="StyleBulleted"/>
  </w:abstractNum>
  <w:abstractNum w:abstractNumId="27"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28"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9" w15:restartNumberingAfterBreak="0">
    <w:nsid w:val="63A20AAC"/>
    <w:multiLevelType w:val="multilevel"/>
    <w:tmpl w:val="5AEEDE88"/>
    <w:numStyleLink w:val="StyleBulleted"/>
  </w:abstractNum>
  <w:abstractNum w:abstractNumId="30"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1"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2" w15:restartNumberingAfterBreak="0">
    <w:nsid w:val="6D193965"/>
    <w:multiLevelType w:val="multilevel"/>
    <w:tmpl w:val="5AEEDE88"/>
    <w:numStyleLink w:val="StyleBulleted"/>
  </w:abstractNum>
  <w:abstractNum w:abstractNumId="33" w15:restartNumberingAfterBreak="0">
    <w:nsid w:val="6F1B2CBC"/>
    <w:multiLevelType w:val="multilevel"/>
    <w:tmpl w:val="5AEEDE88"/>
    <w:numStyleLink w:val="StyleBulleted"/>
  </w:abstractNum>
  <w:abstractNum w:abstractNumId="34"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5"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6"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BA00343"/>
    <w:multiLevelType w:val="hybridMultilevel"/>
    <w:tmpl w:val="BBDA40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7"/>
  </w:num>
  <w:num w:numId="2">
    <w:abstractNumId w:val="30"/>
  </w:num>
  <w:num w:numId="3">
    <w:abstractNumId w:val="21"/>
  </w:num>
  <w:num w:numId="4">
    <w:abstractNumId w:val="0"/>
  </w:num>
  <w:num w:numId="5">
    <w:abstractNumId w:val="31"/>
  </w:num>
  <w:num w:numId="6">
    <w:abstractNumId w:val="2"/>
  </w:num>
  <w:num w:numId="7">
    <w:abstractNumId w:val="12"/>
  </w:num>
  <w:num w:numId="8">
    <w:abstractNumId w:val="33"/>
  </w:num>
  <w:num w:numId="9">
    <w:abstractNumId w:val="29"/>
  </w:num>
  <w:num w:numId="10">
    <w:abstractNumId w:val="14"/>
  </w:num>
  <w:num w:numId="11">
    <w:abstractNumId w:val="7"/>
  </w:num>
  <w:num w:numId="12">
    <w:abstractNumId w:val="32"/>
  </w:num>
  <w:num w:numId="13">
    <w:abstractNumId w:val="18"/>
  </w:num>
  <w:num w:numId="14">
    <w:abstractNumId w:val="1"/>
  </w:num>
  <w:num w:numId="15">
    <w:abstractNumId w:val="9"/>
  </w:num>
  <w:num w:numId="16">
    <w:abstractNumId w:val="28"/>
  </w:num>
  <w:num w:numId="17">
    <w:abstractNumId w:val="22"/>
  </w:num>
  <w:num w:numId="18">
    <w:abstractNumId w:val="26"/>
  </w:num>
  <w:num w:numId="19">
    <w:abstractNumId w:val="17"/>
  </w:num>
  <w:num w:numId="20">
    <w:abstractNumId w:val="35"/>
  </w:num>
  <w:num w:numId="21">
    <w:abstractNumId w:val="5"/>
  </w:num>
  <w:num w:numId="22">
    <w:abstractNumId w:val="23"/>
  </w:num>
  <w:num w:numId="23">
    <w:abstractNumId w:val="36"/>
  </w:num>
  <w:num w:numId="24">
    <w:abstractNumId w:val="15"/>
  </w:num>
  <w:num w:numId="25">
    <w:abstractNumId w:val="15"/>
  </w:num>
  <w:num w:numId="26">
    <w:abstractNumId w:val="11"/>
  </w:num>
  <w:num w:numId="27">
    <w:abstractNumId w:val="10"/>
  </w:num>
  <w:num w:numId="28">
    <w:abstractNumId w:val="8"/>
  </w:num>
  <w:num w:numId="29">
    <w:abstractNumId w:val="6"/>
  </w:num>
  <w:num w:numId="30">
    <w:abstractNumId w:val="3"/>
  </w:num>
  <w:num w:numId="31">
    <w:abstractNumId w:val="20"/>
  </w:num>
  <w:num w:numId="32">
    <w:abstractNumId w:val="19"/>
  </w:num>
  <w:num w:numId="33">
    <w:abstractNumId w:val="16"/>
  </w:num>
  <w:num w:numId="34">
    <w:abstractNumId w:val="37"/>
  </w:num>
  <w:num w:numId="35">
    <w:abstractNumId w:val="4"/>
  </w:num>
  <w:num w:numId="36">
    <w:abstractNumId w:val="25"/>
  </w:num>
  <w:num w:numId="37">
    <w:abstractNumId w:val="34"/>
  </w:num>
  <w:num w:numId="38">
    <w:abstractNumId w:val="13"/>
  </w:num>
  <w:num w:numId="39">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8192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367D"/>
    <w:rsid w:val="0000392E"/>
    <w:rsid w:val="00003A32"/>
    <w:rsid w:val="00005884"/>
    <w:rsid w:val="00006E47"/>
    <w:rsid w:val="0001095C"/>
    <w:rsid w:val="00010C45"/>
    <w:rsid w:val="000114F8"/>
    <w:rsid w:val="00013196"/>
    <w:rsid w:val="00016C57"/>
    <w:rsid w:val="00020189"/>
    <w:rsid w:val="00020EE4"/>
    <w:rsid w:val="000227EB"/>
    <w:rsid w:val="00023333"/>
    <w:rsid w:val="000234D6"/>
    <w:rsid w:val="0002628D"/>
    <w:rsid w:val="00026447"/>
    <w:rsid w:val="0002695C"/>
    <w:rsid w:val="000304C1"/>
    <w:rsid w:val="00031268"/>
    <w:rsid w:val="00032C0E"/>
    <w:rsid w:val="00033419"/>
    <w:rsid w:val="00033426"/>
    <w:rsid w:val="00033950"/>
    <w:rsid w:val="00033E8D"/>
    <w:rsid w:val="0003400A"/>
    <w:rsid w:val="00034A84"/>
    <w:rsid w:val="00035E67"/>
    <w:rsid w:val="00036FE3"/>
    <w:rsid w:val="0004192F"/>
    <w:rsid w:val="00041968"/>
    <w:rsid w:val="000422E7"/>
    <w:rsid w:val="00044809"/>
    <w:rsid w:val="00045703"/>
    <w:rsid w:val="00045A4F"/>
    <w:rsid w:val="00046866"/>
    <w:rsid w:val="00047318"/>
    <w:rsid w:val="0005061F"/>
    <w:rsid w:val="00050ABD"/>
    <w:rsid w:val="00050B6A"/>
    <w:rsid w:val="00051416"/>
    <w:rsid w:val="00051E77"/>
    <w:rsid w:val="00052910"/>
    <w:rsid w:val="000529F3"/>
    <w:rsid w:val="00054A4A"/>
    <w:rsid w:val="000551BB"/>
    <w:rsid w:val="000559DE"/>
    <w:rsid w:val="00056547"/>
    <w:rsid w:val="0005766E"/>
    <w:rsid w:val="00057B03"/>
    <w:rsid w:val="0006027D"/>
    <w:rsid w:val="000605A3"/>
    <w:rsid w:val="00062880"/>
    <w:rsid w:val="0006566F"/>
    <w:rsid w:val="00066715"/>
    <w:rsid w:val="00066F2B"/>
    <w:rsid w:val="0006700B"/>
    <w:rsid w:val="000705D1"/>
    <w:rsid w:val="00071F28"/>
    <w:rsid w:val="00072371"/>
    <w:rsid w:val="000728EA"/>
    <w:rsid w:val="00075D81"/>
    <w:rsid w:val="00076FCC"/>
    <w:rsid w:val="00077900"/>
    <w:rsid w:val="00080AE8"/>
    <w:rsid w:val="00080FAD"/>
    <w:rsid w:val="00081825"/>
    <w:rsid w:val="00081DD4"/>
    <w:rsid w:val="0008255C"/>
    <w:rsid w:val="00082BB1"/>
    <w:rsid w:val="000842B5"/>
    <w:rsid w:val="000842F4"/>
    <w:rsid w:val="00085F22"/>
    <w:rsid w:val="0008640E"/>
    <w:rsid w:val="0008784B"/>
    <w:rsid w:val="00087FA0"/>
    <w:rsid w:val="000903DE"/>
    <w:rsid w:val="00090808"/>
    <w:rsid w:val="0009114D"/>
    <w:rsid w:val="000912C6"/>
    <w:rsid w:val="000924C1"/>
    <w:rsid w:val="00093522"/>
    <w:rsid w:val="00094518"/>
    <w:rsid w:val="00094A14"/>
    <w:rsid w:val="00094B45"/>
    <w:rsid w:val="00094D4E"/>
    <w:rsid w:val="00096680"/>
    <w:rsid w:val="00097B3F"/>
    <w:rsid w:val="000A01F6"/>
    <w:rsid w:val="000A0BB1"/>
    <w:rsid w:val="000A22CF"/>
    <w:rsid w:val="000A27FF"/>
    <w:rsid w:val="000A2DF7"/>
    <w:rsid w:val="000A381C"/>
    <w:rsid w:val="000A3AF6"/>
    <w:rsid w:val="000B1EF3"/>
    <w:rsid w:val="000B2A0F"/>
    <w:rsid w:val="000B477F"/>
    <w:rsid w:val="000B64F8"/>
    <w:rsid w:val="000B7281"/>
    <w:rsid w:val="000B73BA"/>
    <w:rsid w:val="000C05BF"/>
    <w:rsid w:val="000C0757"/>
    <w:rsid w:val="000C07A1"/>
    <w:rsid w:val="000C082E"/>
    <w:rsid w:val="000C0FB6"/>
    <w:rsid w:val="000C22D3"/>
    <w:rsid w:val="000C3F27"/>
    <w:rsid w:val="000C3F40"/>
    <w:rsid w:val="000C43A2"/>
    <w:rsid w:val="000C4679"/>
    <w:rsid w:val="000C521E"/>
    <w:rsid w:val="000C575D"/>
    <w:rsid w:val="000C5810"/>
    <w:rsid w:val="000C5E4F"/>
    <w:rsid w:val="000C6AB0"/>
    <w:rsid w:val="000C6EED"/>
    <w:rsid w:val="000C7240"/>
    <w:rsid w:val="000D1EAE"/>
    <w:rsid w:val="000D2C16"/>
    <w:rsid w:val="000D3986"/>
    <w:rsid w:val="000D429F"/>
    <w:rsid w:val="000D4F6D"/>
    <w:rsid w:val="000D7BB7"/>
    <w:rsid w:val="000E15AA"/>
    <w:rsid w:val="000E21AD"/>
    <w:rsid w:val="000E5198"/>
    <w:rsid w:val="000E66F2"/>
    <w:rsid w:val="000F03D7"/>
    <w:rsid w:val="000F1533"/>
    <w:rsid w:val="000F1A72"/>
    <w:rsid w:val="000F2632"/>
    <w:rsid w:val="000F46A7"/>
    <w:rsid w:val="000F4B53"/>
    <w:rsid w:val="000F53BE"/>
    <w:rsid w:val="000F6168"/>
    <w:rsid w:val="00101F98"/>
    <w:rsid w:val="00102DFB"/>
    <w:rsid w:val="001031E7"/>
    <w:rsid w:val="00104517"/>
    <w:rsid w:val="0010586C"/>
    <w:rsid w:val="00105F8D"/>
    <w:rsid w:val="001069BA"/>
    <w:rsid w:val="00107D12"/>
    <w:rsid w:val="00107EB4"/>
    <w:rsid w:val="001133FC"/>
    <w:rsid w:val="00114139"/>
    <w:rsid w:val="00116C00"/>
    <w:rsid w:val="00116E2A"/>
    <w:rsid w:val="0011723E"/>
    <w:rsid w:val="0011757B"/>
    <w:rsid w:val="001177B9"/>
    <w:rsid w:val="00120E74"/>
    <w:rsid w:val="001210BF"/>
    <w:rsid w:val="00121AD6"/>
    <w:rsid w:val="00122BDB"/>
    <w:rsid w:val="00123082"/>
    <w:rsid w:val="00123704"/>
    <w:rsid w:val="00124B64"/>
    <w:rsid w:val="00125028"/>
    <w:rsid w:val="00125154"/>
    <w:rsid w:val="00125A07"/>
    <w:rsid w:val="001270C7"/>
    <w:rsid w:val="00130DA2"/>
    <w:rsid w:val="00131D1F"/>
    <w:rsid w:val="00133488"/>
    <w:rsid w:val="00134D07"/>
    <w:rsid w:val="001354ED"/>
    <w:rsid w:val="00136130"/>
    <w:rsid w:val="00136D94"/>
    <w:rsid w:val="00137060"/>
    <w:rsid w:val="0014161D"/>
    <w:rsid w:val="00142259"/>
    <w:rsid w:val="00142628"/>
    <w:rsid w:val="00142859"/>
    <w:rsid w:val="001429A1"/>
    <w:rsid w:val="00142BCD"/>
    <w:rsid w:val="00144379"/>
    <w:rsid w:val="001454F5"/>
    <w:rsid w:val="001465F4"/>
    <w:rsid w:val="0014786A"/>
    <w:rsid w:val="0015109B"/>
    <w:rsid w:val="001516A4"/>
    <w:rsid w:val="001543A7"/>
    <w:rsid w:val="00154AD8"/>
    <w:rsid w:val="00156765"/>
    <w:rsid w:val="00160666"/>
    <w:rsid w:val="00160711"/>
    <w:rsid w:val="00162ECA"/>
    <w:rsid w:val="00163F42"/>
    <w:rsid w:val="00163F5B"/>
    <w:rsid w:val="00163FA2"/>
    <w:rsid w:val="00163FF4"/>
    <w:rsid w:val="00164384"/>
    <w:rsid w:val="00164D75"/>
    <w:rsid w:val="00165BCE"/>
    <w:rsid w:val="00166242"/>
    <w:rsid w:val="001663B0"/>
    <w:rsid w:val="00166F6E"/>
    <w:rsid w:val="00167F79"/>
    <w:rsid w:val="00171AFC"/>
    <w:rsid w:val="0017257E"/>
    <w:rsid w:val="00173689"/>
    <w:rsid w:val="001739A0"/>
    <w:rsid w:val="001753DD"/>
    <w:rsid w:val="001802CA"/>
    <w:rsid w:val="00180CBA"/>
    <w:rsid w:val="00181629"/>
    <w:rsid w:val="00181A35"/>
    <w:rsid w:val="00182C7C"/>
    <w:rsid w:val="00183CBA"/>
    <w:rsid w:val="00183FB1"/>
    <w:rsid w:val="00185576"/>
    <w:rsid w:val="00185951"/>
    <w:rsid w:val="00191587"/>
    <w:rsid w:val="0019197B"/>
    <w:rsid w:val="00192687"/>
    <w:rsid w:val="0019336F"/>
    <w:rsid w:val="00193994"/>
    <w:rsid w:val="00194809"/>
    <w:rsid w:val="001952F9"/>
    <w:rsid w:val="00195B13"/>
    <w:rsid w:val="001A11E4"/>
    <w:rsid w:val="001A2505"/>
    <w:rsid w:val="001A4CE3"/>
    <w:rsid w:val="001A5422"/>
    <w:rsid w:val="001B0189"/>
    <w:rsid w:val="001B01D9"/>
    <w:rsid w:val="001B12E2"/>
    <w:rsid w:val="001B1B4E"/>
    <w:rsid w:val="001B27E6"/>
    <w:rsid w:val="001B2C4B"/>
    <w:rsid w:val="001B5DC5"/>
    <w:rsid w:val="001B793F"/>
    <w:rsid w:val="001B7D7E"/>
    <w:rsid w:val="001C0CF4"/>
    <w:rsid w:val="001C1AF8"/>
    <w:rsid w:val="001C3DBE"/>
    <w:rsid w:val="001C3DE6"/>
    <w:rsid w:val="001C3E25"/>
    <w:rsid w:val="001C47F8"/>
    <w:rsid w:val="001C49CC"/>
    <w:rsid w:val="001C6550"/>
    <w:rsid w:val="001C6571"/>
    <w:rsid w:val="001C793E"/>
    <w:rsid w:val="001D0371"/>
    <w:rsid w:val="001D0FB6"/>
    <w:rsid w:val="001D288C"/>
    <w:rsid w:val="001D4805"/>
    <w:rsid w:val="001D5178"/>
    <w:rsid w:val="001D70D8"/>
    <w:rsid w:val="001D756D"/>
    <w:rsid w:val="001D7F60"/>
    <w:rsid w:val="001E1E35"/>
    <w:rsid w:val="001E2B9C"/>
    <w:rsid w:val="001E34C6"/>
    <w:rsid w:val="001E3737"/>
    <w:rsid w:val="001E5581"/>
    <w:rsid w:val="001E73BA"/>
    <w:rsid w:val="001F0250"/>
    <w:rsid w:val="001F0D23"/>
    <w:rsid w:val="001F0D75"/>
    <w:rsid w:val="001F2538"/>
    <w:rsid w:val="001F3AD3"/>
    <w:rsid w:val="001F45BA"/>
    <w:rsid w:val="001F4D72"/>
    <w:rsid w:val="001F562C"/>
    <w:rsid w:val="001F583B"/>
    <w:rsid w:val="001F5F92"/>
    <w:rsid w:val="001F6340"/>
    <w:rsid w:val="00200B26"/>
    <w:rsid w:val="002068BD"/>
    <w:rsid w:val="00210629"/>
    <w:rsid w:val="00211122"/>
    <w:rsid w:val="002116CC"/>
    <w:rsid w:val="002121BE"/>
    <w:rsid w:val="0021384A"/>
    <w:rsid w:val="00216302"/>
    <w:rsid w:val="002165AB"/>
    <w:rsid w:val="00216808"/>
    <w:rsid w:val="00216ADD"/>
    <w:rsid w:val="0022047A"/>
    <w:rsid w:val="002212B1"/>
    <w:rsid w:val="00221806"/>
    <w:rsid w:val="002222A2"/>
    <w:rsid w:val="0022295F"/>
    <w:rsid w:val="00223E42"/>
    <w:rsid w:val="00224D2D"/>
    <w:rsid w:val="00231B64"/>
    <w:rsid w:val="002333F6"/>
    <w:rsid w:val="00234DF4"/>
    <w:rsid w:val="00234F48"/>
    <w:rsid w:val="00237401"/>
    <w:rsid w:val="00237F45"/>
    <w:rsid w:val="0024163C"/>
    <w:rsid w:val="00242356"/>
    <w:rsid w:val="002428E3"/>
    <w:rsid w:val="00242FF6"/>
    <w:rsid w:val="00245058"/>
    <w:rsid w:val="00247170"/>
    <w:rsid w:val="00247458"/>
    <w:rsid w:val="0025034D"/>
    <w:rsid w:val="0025156B"/>
    <w:rsid w:val="00254103"/>
    <w:rsid w:val="00255306"/>
    <w:rsid w:val="002568BC"/>
    <w:rsid w:val="00256E73"/>
    <w:rsid w:val="002579E2"/>
    <w:rsid w:val="00260BAF"/>
    <w:rsid w:val="00260EC0"/>
    <w:rsid w:val="00261F77"/>
    <w:rsid w:val="002633CA"/>
    <w:rsid w:val="002644F5"/>
    <w:rsid w:val="00264CB9"/>
    <w:rsid w:val="002650F7"/>
    <w:rsid w:val="00266018"/>
    <w:rsid w:val="00267BA5"/>
    <w:rsid w:val="0027051F"/>
    <w:rsid w:val="00271BF2"/>
    <w:rsid w:val="002731C3"/>
    <w:rsid w:val="002733CD"/>
    <w:rsid w:val="0027471C"/>
    <w:rsid w:val="002803F3"/>
    <w:rsid w:val="0028070F"/>
    <w:rsid w:val="00280CF7"/>
    <w:rsid w:val="00280F74"/>
    <w:rsid w:val="00281846"/>
    <w:rsid w:val="00283363"/>
    <w:rsid w:val="00286998"/>
    <w:rsid w:val="002874CC"/>
    <w:rsid w:val="00290320"/>
    <w:rsid w:val="00290657"/>
    <w:rsid w:val="002912E8"/>
    <w:rsid w:val="00294E9B"/>
    <w:rsid w:val="002957DE"/>
    <w:rsid w:val="00296115"/>
    <w:rsid w:val="00297320"/>
    <w:rsid w:val="002A149F"/>
    <w:rsid w:val="002A1CB5"/>
    <w:rsid w:val="002A310E"/>
    <w:rsid w:val="002A5261"/>
    <w:rsid w:val="002A6BF7"/>
    <w:rsid w:val="002B0F2F"/>
    <w:rsid w:val="002B153C"/>
    <w:rsid w:val="002B7582"/>
    <w:rsid w:val="002B76D0"/>
    <w:rsid w:val="002C1673"/>
    <w:rsid w:val="002C2320"/>
    <w:rsid w:val="002C3659"/>
    <w:rsid w:val="002C45B0"/>
    <w:rsid w:val="002C6064"/>
    <w:rsid w:val="002C6A05"/>
    <w:rsid w:val="002C6E17"/>
    <w:rsid w:val="002C7285"/>
    <w:rsid w:val="002C7362"/>
    <w:rsid w:val="002C75D9"/>
    <w:rsid w:val="002C77AF"/>
    <w:rsid w:val="002D1801"/>
    <w:rsid w:val="002D26DA"/>
    <w:rsid w:val="002D2F45"/>
    <w:rsid w:val="002D3129"/>
    <w:rsid w:val="002D317B"/>
    <w:rsid w:val="002D48F9"/>
    <w:rsid w:val="002D6BF5"/>
    <w:rsid w:val="002D70F3"/>
    <w:rsid w:val="002E05CA"/>
    <w:rsid w:val="002E093D"/>
    <w:rsid w:val="002E0F69"/>
    <w:rsid w:val="002E14DF"/>
    <w:rsid w:val="002E14E1"/>
    <w:rsid w:val="002E184D"/>
    <w:rsid w:val="002E1925"/>
    <w:rsid w:val="002E1FAD"/>
    <w:rsid w:val="002E3F64"/>
    <w:rsid w:val="002E44D1"/>
    <w:rsid w:val="002E572E"/>
    <w:rsid w:val="002E7941"/>
    <w:rsid w:val="002F13D9"/>
    <w:rsid w:val="002F1D5F"/>
    <w:rsid w:val="002F35DC"/>
    <w:rsid w:val="002F56DD"/>
    <w:rsid w:val="002F5E6C"/>
    <w:rsid w:val="002F6CE5"/>
    <w:rsid w:val="002F7070"/>
    <w:rsid w:val="002F7EC6"/>
    <w:rsid w:val="0030018C"/>
    <w:rsid w:val="0030067E"/>
    <w:rsid w:val="00300D9E"/>
    <w:rsid w:val="00301631"/>
    <w:rsid w:val="0030201A"/>
    <w:rsid w:val="00302C0A"/>
    <w:rsid w:val="00303724"/>
    <w:rsid w:val="003051CC"/>
    <w:rsid w:val="00306B7E"/>
    <w:rsid w:val="00307981"/>
    <w:rsid w:val="00307CF0"/>
    <w:rsid w:val="00311B53"/>
    <w:rsid w:val="00311D97"/>
    <w:rsid w:val="00312597"/>
    <w:rsid w:val="003139A4"/>
    <w:rsid w:val="00313E3B"/>
    <w:rsid w:val="003141C9"/>
    <w:rsid w:val="003141DF"/>
    <w:rsid w:val="0031751C"/>
    <w:rsid w:val="00321AA3"/>
    <w:rsid w:val="00326699"/>
    <w:rsid w:val="00326B88"/>
    <w:rsid w:val="0033173E"/>
    <w:rsid w:val="00331B8E"/>
    <w:rsid w:val="0033207E"/>
    <w:rsid w:val="00333036"/>
    <w:rsid w:val="003331DA"/>
    <w:rsid w:val="00333A9E"/>
    <w:rsid w:val="00334334"/>
    <w:rsid w:val="00334865"/>
    <w:rsid w:val="00335039"/>
    <w:rsid w:val="00335F89"/>
    <w:rsid w:val="003412ED"/>
    <w:rsid w:val="00341585"/>
    <w:rsid w:val="00342938"/>
    <w:rsid w:val="00343F24"/>
    <w:rsid w:val="003477DF"/>
    <w:rsid w:val="00350DC8"/>
    <w:rsid w:val="00353D56"/>
    <w:rsid w:val="003553A7"/>
    <w:rsid w:val="003554B8"/>
    <w:rsid w:val="00355575"/>
    <w:rsid w:val="003555BF"/>
    <w:rsid w:val="003604B7"/>
    <w:rsid w:val="0036223B"/>
    <w:rsid w:val="0036252A"/>
    <w:rsid w:val="003646BF"/>
    <w:rsid w:val="00364D9D"/>
    <w:rsid w:val="003668AB"/>
    <w:rsid w:val="00371603"/>
    <w:rsid w:val="003735B9"/>
    <w:rsid w:val="003737A8"/>
    <w:rsid w:val="0037461E"/>
    <w:rsid w:val="00374748"/>
    <w:rsid w:val="00382AE3"/>
    <w:rsid w:val="00383906"/>
    <w:rsid w:val="00383DA1"/>
    <w:rsid w:val="00385ADB"/>
    <w:rsid w:val="00387E90"/>
    <w:rsid w:val="00391182"/>
    <w:rsid w:val="003912B4"/>
    <w:rsid w:val="0039160C"/>
    <w:rsid w:val="00392007"/>
    <w:rsid w:val="0039660F"/>
    <w:rsid w:val="0039741E"/>
    <w:rsid w:val="0039744C"/>
    <w:rsid w:val="00397C46"/>
    <w:rsid w:val="003A06C8"/>
    <w:rsid w:val="003A075C"/>
    <w:rsid w:val="003A0D7C"/>
    <w:rsid w:val="003A1E73"/>
    <w:rsid w:val="003A32D7"/>
    <w:rsid w:val="003A51E3"/>
    <w:rsid w:val="003A5607"/>
    <w:rsid w:val="003A56AD"/>
    <w:rsid w:val="003A65E8"/>
    <w:rsid w:val="003A667A"/>
    <w:rsid w:val="003A74F5"/>
    <w:rsid w:val="003A7AFA"/>
    <w:rsid w:val="003A7CA6"/>
    <w:rsid w:val="003B0771"/>
    <w:rsid w:val="003B40BE"/>
    <w:rsid w:val="003B4CB4"/>
    <w:rsid w:val="003B518B"/>
    <w:rsid w:val="003B58E3"/>
    <w:rsid w:val="003B7612"/>
    <w:rsid w:val="003B7872"/>
    <w:rsid w:val="003B7EE7"/>
    <w:rsid w:val="003C18C0"/>
    <w:rsid w:val="003C6ADC"/>
    <w:rsid w:val="003C72C7"/>
    <w:rsid w:val="003C7467"/>
    <w:rsid w:val="003D1F17"/>
    <w:rsid w:val="003D244F"/>
    <w:rsid w:val="003D2DC5"/>
    <w:rsid w:val="003D39EC"/>
    <w:rsid w:val="003D3A9F"/>
    <w:rsid w:val="003D3E27"/>
    <w:rsid w:val="003D53B3"/>
    <w:rsid w:val="003D5452"/>
    <w:rsid w:val="003D606F"/>
    <w:rsid w:val="003D6943"/>
    <w:rsid w:val="003D78F6"/>
    <w:rsid w:val="003D7BA1"/>
    <w:rsid w:val="003E0D8B"/>
    <w:rsid w:val="003E0DD1"/>
    <w:rsid w:val="003E3DD5"/>
    <w:rsid w:val="003E537A"/>
    <w:rsid w:val="003E55D6"/>
    <w:rsid w:val="003E6FCE"/>
    <w:rsid w:val="003E713E"/>
    <w:rsid w:val="003E79F6"/>
    <w:rsid w:val="003E7BF8"/>
    <w:rsid w:val="003E7ECF"/>
    <w:rsid w:val="003F0833"/>
    <w:rsid w:val="003F0B8C"/>
    <w:rsid w:val="003F1ECD"/>
    <w:rsid w:val="003F24FC"/>
    <w:rsid w:val="003F26FC"/>
    <w:rsid w:val="003F31A3"/>
    <w:rsid w:val="003F350F"/>
    <w:rsid w:val="003F44B7"/>
    <w:rsid w:val="003F5FE3"/>
    <w:rsid w:val="003F75A0"/>
    <w:rsid w:val="00400F1C"/>
    <w:rsid w:val="004026D5"/>
    <w:rsid w:val="0040306E"/>
    <w:rsid w:val="004030D8"/>
    <w:rsid w:val="00404B4E"/>
    <w:rsid w:val="00405BB4"/>
    <w:rsid w:val="00406AF7"/>
    <w:rsid w:val="004075F2"/>
    <w:rsid w:val="00410DE8"/>
    <w:rsid w:val="00411100"/>
    <w:rsid w:val="004111DA"/>
    <w:rsid w:val="00413D48"/>
    <w:rsid w:val="00414ACD"/>
    <w:rsid w:val="00414B35"/>
    <w:rsid w:val="004213B0"/>
    <w:rsid w:val="00422948"/>
    <w:rsid w:val="00422FEE"/>
    <w:rsid w:val="00423E34"/>
    <w:rsid w:val="00425D89"/>
    <w:rsid w:val="00430CBE"/>
    <w:rsid w:val="0043236F"/>
    <w:rsid w:val="004374FA"/>
    <w:rsid w:val="0043760A"/>
    <w:rsid w:val="00441AC2"/>
    <w:rsid w:val="004425A0"/>
    <w:rsid w:val="00444592"/>
    <w:rsid w:val="00445FEE"/>
    <w:rsid w:val="00446082"/>
    <w:rsid w:val="0044678E"/>
    <w:rsid w:val="004469C1"/>
    <w:rsid w:val="00447E60"/>
    <w:rsid w:val="0045061E"/>
    <w:rsid w:val="004510AC"/>
    <w:rsid w:val="0045182A"/>
    <w:rsid w:val="00452009"/>
    <w:rsid w:val="004520E4"/>
    <w:rsid w:val="004528F1"/>
    <w:rsid w:val="00452BCD"/>
    <w:rsid w:val="00453A1E"/>
    <w:rsid w:val="00454EC1"/>
    <w:rsid w:val="00456A79"/>
    <w:rsid w:val="00456B63"/>
    <w:rsid w:val="00456C9B"/>
    <w:rsid w:val="0046002C"/>
    <w:rsid w:val="00460E7F"/>
    <w:rsid w:val="0046218D"/>
    <w:rsid w:val="00463FDE"/>
    <w:rsid w:val="0046457D"/>
    <w:rsid w:val="004655AB"/>
    <w:rsid w:val="004659CD"/>
    <w:rsid w:val="00467D2E"/>
    <w:rsid w:val="00470830"/>
    <w:rsid w:val="004708CA"/>
    <w:rsid w:val="004722ED"/>
    <w:rsid w:val="004726E9"/>
    <w:rsid w:val="00473B74"/>
    <w:rsid w:val="00474212"/>
    <w:rsid w:val="0047508B"/>
    <w:rsid w:val="00476808"/>
    <w:rsid w:val="00476C91"/>
    <w:rsid w:val="004809AE"/>
    <w:rsid w:val="0048181B"/>
    <w:rsid w:val="00481E7F"/>
    <w:rsid w:val="00483F0B"/>
    <w:rsid w:val="00484913"/>
    <w:rsid w:val="00486000"/>
    <w:rsid w:val="004867E2"/>
    <w:rsid w:val="00486C2F"/>
    <w:rsid w:val="00486D84"/>
    <w:rsid w:val="00487527"/>
    <w:rsid w:val="00492A5E"/>
    <w:rsid w:val="004956ED"/>
    <w:rsid w:val="004958A1"/>
    <w:rsid w:val="00497234"/>
    <w:rsid w:val="004A5672"/>
    <w:rsid w:val="004A5F55"/>
    <w:rsid w:val="004A7436"/>
    <w:rsid w:val="004A7BAF"/>
    <w:rsid w:val="004B02EC"/>
    <w:rsid w:val="004B2A6D"/>
    <w:rsid w:val="004B30C6"/>
    <w:rsid w:val="004B3BB8"/>
    <w:rsid w:val="004B5465"/>
    <w:rsid w:val="004B68F5"/>
    <w:rsid w:val="004B7506"/>
    <w:rsid w:val="004C0099"/>
    <w:rsid w:val="004C1744"/>
    <w:rsid w:val="004C3056"/>
    <w:rsid w:val="004C4242"/>
    <w:rsid w:val="004C6647"/>
    <w:rsid w:val="004C7FE0"/>
    <w:rsid w:val="004D07B2"/>
    <w:rsid w:val="004D0F47"/>
    <w:rsid w:val="004D106D"/>
    <w:rsid w:val="004D1BE1"/>
    <w:rsid w:val="004D1C3B"/>
    <w:rsid w:val="004D2E94"/>
    <w:rsid w:val="004D372F"/>
    <w:rsid w:val="004D403F"/>
    <w:rsid w:val="004D4757"/>
    <w:rsid w:val="004D5643"/>
    <w:rsid w:val="004D6440"/>
    <w:rsid w:val="004E022E"/>
    <w:rsid w:val="004E13BE"/>
    <w:rsid w:val="004E271E"/>
    <w:rsid w:val="004E32F0"/>
    <w:rsid w:val="004E3D5D"/>
    <w:rsid w:val="004E4EE9"/>
    <w:rsid w:val="004E60C0"/>
    <w:rsid w:val="004E613A"/>
    <w:rsid w:val="004E7715"/>
    <w:rsid w:val="004F252B"/>
    <w:rsid w:val="004F391C"/>
    <w:rsid w:val="004F3C83"/>
    <w:rsid w:val="004F4285"/>
    <w:rsid w:val="004F5098"/>
    <w:rsid w:val="004F680B"/>
    <w:rsid w:val="004F6950"/>
    <w:rsid w:val="00502AF4"/>
    <w:rsid w:val="00504887"/>
    <w:rsid w:val="00504EC6"/>
    <w:rsid w:val="00504F43"/>
    <w:rsid w:val="005059B4"/>
    <w:rsid w:val="00505E80"/>
    <w:rsid w:val="00507B8D"/>
    <w:rsid w:val="00510633"/>
    <w:rsid w:val="00512A53"/>
    <w:rsid w:val="00513024"/>
    <w:rsid w:val="00514729"/>
    <w:rsid w:val="005150FC"/>
    <w:rsid w:val="00516022"/>
    <w:rsid w:val="00516185"/>
    <w:rsid w:val="005166D1"/>
    <w:rsid w:val="00517558"/>
    <w:rsid w:val="00521CEE"/>
    <w:rsid w:val="00523F8B"/>
    <w:rsid w:val="00524D65"/>
    <w:rsid w:val="00526E66"/>
    <w:rsid w:val="00526EC4"/>
    <w:rsid w:val="00530233"/>
    <w:rsid w:val="00532172"/>
    <w:rsid w:val="00532596"/>
    <w:rsid w:val="00534880"/>
    <w:rsid w:val="0053789D"/>
    <w:rsid w:val="00537DB3"/>
    <w:rsid w:val="005403C1"/>
    <w:rsid w:val="005415F2"/>
    <w:rsid w:val="00543B42"/>
    <w:rsid w:val="005452CC"/>
    <w:rsid w:val="00546431"/>
    <w:rsid w:val="005466EF"/>
    <w:rsid w:val="005469CE"/>
    <w:rsid w:val="005477C5"/>
    <w:rsid w:val="00547CB3"/>
    <w:rsid w:val="005505A1"/>
    <w:rsid w:val="005506A2"/>
    <w:rsid w:val="00551026"/>
    <w:rsid w:val="00551317"/>
    <w:rsid w:val="005530A7"/>
    <w:rsid w:val="005546E2"/>
    <w:rsid w:val="00554727"/>
    <w:rsid w:val="005553AD"/>
    <w:rsid w:val="005557A8"/>
    <w:rsid w:val="00556D2C"/>
    <w:rsid w:val="0055776D"/>
    <w:rsid w:val="005606F3"/>
    <w:rsid w:val="005624A7"/>
    <w:rsid w:val="00562ED1"/>
    <w:rsid w:val="0056454C"/>
    <w:rsid w:val="005652E2"/>
    <w:rsid w:val="005662F1"/>
    <w:rsid w:val="00573041"/>
    <w:rsid w:val="00573652"/>
    <w:rsid w:val="0057402A"/>
    <w:rsid w:val="005749A5"/>
    <w:rsid w:val="0057732A"/>
    <w:rsid w:val="00582942"/>
    <w:rsid w:val="00583E52"/>
    <w:rsid w:val="00584568"/>
    <w:rsid w:val="00585B3C"/>
    <w:rsid w:val="00587797"/>
    <w:rsid w:val="005903FB"/>
    <w:rsid w:val="00593255"/>
    <w:rsid w:val="005936CB"/>
    <w:rsid w:val="00593B69"/>
    <w:rsid w:val="005943F9"/>
    <w:rsid w:val="0059530B"/>
    <w:rsid w:val="0059680A"/>
    <w:rsid w:val="005968D8"/>
    <w:rsid w:val="00597477"/>
    <w:rsid w:val="005A03A3"/>
    <w:rsid w:val="005A07F5"/>
    <w:rsid w:val="005A1D89"/>
    <w:rsid w:val="005A463A"/>
    <w:rsid w:val="005A502E"/>
    <w:rsid w:val="005A6ADB"/>
    <w:rsid w:val="005A79E3"/>
    <w:rsid w:val="005B0ADD"/>
    <w:rsid w:val="005B13E7"/>
    <w:rsid w:val="005B36E0"/>
    <w:rsid w:val="005B4F97"/>
    <w:rsid w:val="005B5ECE"/>
    <w:rsid w:val="005B6A16"/>
    <w:rsid w:val="005B77E3"/>
    <w:rsid w:val="005C164B"/>
    <w:rsid w:val="005C1A3A"/>
    <w:rsid w:val="005C22DD"/>
    <w:rsid w:val="005C3FE0"/>
    <w:rsid w:val="005C400C"/>
    <w:rsid w:val="005C4A83"/>
    <w:rsid w:val="005C7308"/>
    <w:rsid w:val="005C740C"/>
    <w:rsid w:val="005C79BA"/>
    <w:rsid w:val="005D0300"/>
    <w:rsid w:val="005D063A"/>
    <w:rsid w:val="005D1E27"/>
    <w:rsid w:val="005D3322"/>
    <w:rsid w:val="005D6886"/>
    <w:rsid w:val="005D6F48"/>
    <w:rsid w:val="005E17A4"/>
    <w:rsid w:val="005E25D4"/>
    <w:rsid w:val="005E6236"/>
    <w:rsid w:val="005E72D2"/>
    <w:rsid w:val="005F0E31"/>
    <w:rsid w:val="005F0E6F"/>
    <w:rsid w:val="005F23DB"/>
    <w:rsid w:val="005F2F08"/>
    <w:rsid w:val="005F3C85"/>
    <w:rsid w:val="005F3FB6"/>
    <w:rsid w:val="005F431D"/>
    <w:rsid w:val="005F4FE7"/>
    <w:rsid w:val="005F55C9"/>
    <w:rsid w:val="00600777"/>
    <w:rsid w:val="0060167A"/>
    <w:rsid w:val="00602145"/>
    <w:rsid w:val="00604859"/>
    <w:rsid w:val="006048F4"/>
    <w:rsid w:val="00604F46"/>
    <w:rsid w:val="006064E1"/>
    <w:rsid w:val="0060660A"/>
    <w:rsid w:val="00607C54"/>
    <w:rsid w:val="00610AAA"/>
    <w:rsid w:val="00611CB0"/>
    <w:rsid w:val="00612294"/>
    <w:rsid w:val="006123B1"/>
    <w:rsid w:val="00613D07"/>
    <w:rsid w:val="006144B7"/>
    <w:rsid w:val="0061509D"/>
    <w:rsid w:val="006154C6"/>
    <w:rsid w:val="00615DAA"/>
    <w:rsid w:val="00617313"/>
    <w:rsid w:val="00617A44"/>
    <w:rsid w:val="0062056A"/>
    <w:rsid w:val="00620DBA"/>
    <w:rsid w:val="00621767"/>
    <w:rsid w:val="0062525B"/>
    <w:rsid w:val="00625CD0"/>
    <w:rsid w:val="00625EB1"/>
    <w:rsid w:val="006271BD"/>
    <w:rsid w:val="006316B8"/>
    <w:rsid w:val="00631889"/>
    <w:rsid w:val="00632896"/>
    <w:rsid w:val="006329A1"/>
    <w:rsid w:val="00633D2B"/>
    <w:rsid w:val="00634587"/>
    <w:rsid w:val="00634A3C"/>
    <w:rsid w:val="0063594B"/>
    <w:rsid w:val="00635DE3"/>
    <w:rsid w:val="0063683F"/>
    <w:rsid w:val="00636AFD"/>
    <w:rsid w:val="006375B8"/>
    <w:rsid w:val="00640FF1"/>
    <w:rsid w:val="00641820"/>
    <w:rsid w:val="00642A29"/>
    <w:rsid w:val="00645DC6"/>
    <w:rsid w:val="00645EC4"/>
    <w:rsid w:val="00646181"/>
    <w:rsid w:val="006469F6"/>
    <w:rsid w:val="00646E47"/>
    <w:rsid w:val="00651441"/>
    <w:rsid w:val="00651DC0"/>
    <w:rsid w:val="006522A0"/>
    <w:rsid w:val="0065281C"/>
    <w:rsid w:val="00653BE5"/>
    <w:rsid w:val="0065558F"/>
    <w:rsid w:val="006565D2"/>
    <w:rsid w:val="0065699E"/>
    <w:rsid w:val="006569DB"/>
    <w:rsid w:val="00656C96"/>
    <w:rsid w:val="00657247"/>
    <w:rsid w:val="00660107"/>
    <w:rsid w:val="006614C4"/>
    <w:rsid w:val="00661591"/>
    <w:rsid w:val="00662125"/>
    <w:rsid w:val="00663E9A"/>
    <w:rsid w:val="0066632F"/>
    <w:rsid w:val="006665E1"/>
    <w:rsid w:val="00667BAB"/>
    <w:rsid w:val="0067057E"/>
    <w:rsid w:val="00670DD3"/>
    <w:rsid w:val="006711B1"/>
    <w:rsid w:val="006711DA"/>
    <w:rsid w:val="0067329B"/>
    <w:rsid w:val="00674C14"/>
    <w:rsid w:val="00675D3C"/>
    <w:rsid w:val="0068182A"/>
    <w:rsid w:val="00681AAF"/>
    <w:rsid w:val="00681B2D"/>
    <w:rsid w:val="0068495E"/>
    <w:rsid w:val="00687998"/>
    <w:rsid w:val="00687CA4"/>
    <w:rsid w:val="00687F4A"/>
    <w:rsid w:val="0069047B"/>
    <w:rsid w:val="00690DCA"/>
    <w:rsid w:val="00691046"/>
    <w:rsid w:val="00692E7B"/>
    <w:rsid w:val="006930FD"/>
    <w:rsid w:val="0069317D"/>
    <w:rsid w:val="006956A1"/>
    <w:rsid w:val="0069702B"/>
    <w:rsid w:val="006A0058"/>
    <w:rsid w:val="006A10B3"/>
    <w:rsid w:val="006A3362"/>
    <w:rsid w:val="006A4DB5"/>
    <w:rsid w:val="006A52D6"/>
    <w:rsid w:val="006A670C"/>
    <w:rsid w:val="006A6FA2"/>
    <w:rsid w:val="006A73B3"/>
    <w:rsid w:val="006A78DD"/>
    <w:rsid w:val="006B021E"/>
    <w:rsid w:val="006B03AF"/>
    <w:rsid w:val="006B0D67"/>
    <w:rsid w:val="006B2292"/>
    <w:rsid w:val="006B329D"/>
    <w:rsid w:val="006B3329"/>
    <w:rsid w:val="006B3A5E"/>
    <w:rsid w:val="006B5E2F"/>
    <w:rsid w:val="006B686B"/>
    <w:rsid w:val="006C114E"/>
    <w:rsid w:val="006C1EB0"/>
    <w:rsid w:val="006C2535"/>
    <w:rsid w:val="006C3A41"/>
    <w:rsid w:val="006C5413"/>
    <w:rsid w:val="006C65A1"/>
    <w:rsid w:val="006C6C62"/>
    <w:rsid w:val="006C7CA9"/>
    <w:rsid w:val="006D1874"/>
    <w:rsid w:val="006D3256"/>
    <w:rsid w:val="006D4B0D"/>
    <w:rsid w:val="006D5DC2"/>
    <w:rsid w:val="006D60B4"/>
    <w:rsid w:val="006D75E1"/>
    <w:rsid w:val="006D7F64"/>
    <w:rsid w:val="006E263E"/>
    <w:rsid w:val="006E3546"/>
    <w:rsid w:val="006E365A"/>
    <w:rsid w:val="006E3770"/>
    <w:rsid w:val="006E38C3"/>
    <w:rsid w:val="006E3E0E"/>
    <w:rsid w:val="006E4993"/>
    <w:rsid w:val="006E4D97"/>
    <w:rsid w:val="006E555B"/>
    <w:rsid w:val="006E6D7C"/>
    <w:rsid w:val="006E7216"/>
    <w:rsid w:val="006E7B10"/>
    <w:rsid w:val="006F0F93"/>
    <w:rsid w:val="006F17B6"/>
    <w:rsid w:val="006F35FA"/>
    <w:rsid w:val="00703AEF"/>
    <w:rsid w:val="00704C49"/>
    <w:rsid w:val="00704CCA"/>
    <w:rsid w:val="0070543F"/>
    <w:rsid w:val="00705BC0"/>
    <w:rsid w:val="00705C87"/>
    <w:rsid w:val="00707E10"/>
    <w:rsid w:val="00707EA6"/>
    <w:rsid w:val="00710978"/>
    <w:rsid w:val="00713044"/>
    <w:rsid w:val="00713F74"/>
    <w:rsid w:val="007146F0"/>
    <w:rsid w:val="00714C30"/>
    <w:rsid w:val="00715237"/>
    <w:rsid w:val="00715F39"/>
    <w:rsid w:val="00716F76"/>
    <w:rsid w:val="00720573"/>
    <w:rsid w:val="0072120E"/>
    <w:rsid w:val="00722293"/>
    <w:rsid w:val="00722F4B"/>
    <w:rsid w:val="007230FA"/>
    <w:rsid w:val="00724101"/>
    <w:rsid w:val="00724360"/>
    <w:rsid w:val="007250F0"/>
    <w:rsid w:val="007254A5"/>
    <w:rsid w:val="00725748"/>
    <w:rsid w:val="00730BF5"/>
    <w:rsid w:val="00730D14"/>
    <w:rsid w:val="00732724"/>
    <w:rsid w:val="00734374"/>
    <w:rsid w:val="00735496"/>
    <w:rsid w:val="00735C12"/>
    <w:rsid w:val="00736823"/>
    <w:rsid w:val="00736D0D"/>
    <w:rsid w:val="0073720D"/>
    <w:rsid w:val="00737BB2"/>
    <w:rsid w:val="007402E0"/>
    <w:rsid w:val="007418AE"/>
    <w:rsid w:val="00742AB9"/>
    <w:rsid w:val="00743337"/>
    <w:rsid w:val="00745016"/>
    <w:rsid w:val="00746658"/>
    <w:rsid w:val="00750A91"/>
    <w:rsid w:val="00751CF9"/>
    <w:rsid w:val="0075240B"/>
    <w:rsid w:val="00752E34"/>
    <w:rsid w:val="0075368B"/>
    <w:rsid w:val="00753D7D"/>
    <w:rsid w:val="00754176"/>
    <w:rsid w:val="00754666"/>
    <w:rsid w:val="00754FBF"/>
    <w:rsid w:val="00755248"/>
    <w:rsid w:val="00756754"/>
    <w:rsid w:val="00757005"/>
    <w:rsid w:val="0076016D"/>
    <w:rsid w:val="007606CE"/>
    <w:rsid w:val="00760C95"/>
    <w:rsid w:val="00763BB2"/>
    <w:rsid w:val="00764F32"/>
    <w:rsid w:val="0077029E"/>
    <w:rsid w:val="0077048E"/>
    <w:rsid w:val="00770864"/>
    <w:rsid w:val="00771F72"/>
    <w:rsid w:val="007724AB"/>
    <w:rsid w:val="00772734"/>
    <w:rsid w:val="00774B22"/>
    <w:rsid w:val="00775344"/>
    <w:rsid w:val="00775D8A"/>
    <w:rsid w:val="0077737C"/>
    <w:rsid w:val="00777503"/>
    <w:rsid w:val="007777DF"/>
    <w:rsid w:val="00781BE3"/>
    <w:rsid w:val="00781CED"/>
    <w:rsid w:val="007827F8"/>
    <w:rsid w:val="007831C7"/>
    <w:rsid w:val="00783559"/>
    <w:rsid w:val="00783B2B"/>
    <w:rsid w:val="00784796"/>
    <w:rsid w:val="0078554C"/>
    <w:rsid w:val="00785F18"/>
    <w:rsid w:val="00786645"/>
    <w:rsid w:val="00786698"/>
    <w:rsid w:val="0079029D"/>
    <w:rsid w:val="007916FA"/>
    <w:rsid w:val="00792AB2"/>
    <w:rsid w:val="007A15FB"/>
    <w:rsid w:val="007A3BEE"/>
    <w:rsid w:val="007A4105"/>
    <w:rsid w:val="007A474C"/>
    <w:rsid w:val="007B0280"/>
    <w:rsid w:val="007B08ED"/>
    <w:rsid w:val="007B163C"/>
    <w:rsid w:val="007B2BC2"/>
    <w:rsid w:val="007B54BC"/>
    <w:rsid w:val="007B6419"/>
    <w:rsid w:val="007B6E9D"/>
    <w:rsid w:val="007C0CE8"/>
    <w:rsid w:val="007C406E"/>
    <w:rsid w:val="007C5197"/>
    <w:rsid w:val="007C66A9"/>
    <w:rsid w:val="007C7F09"/>
    <w:rsid w:val="007D08AB"/>
    <w:rsid w:val="007D0AC3"/>
    <w:rsid w:val="007D25B4"/>
    <w:rsid w:val="007D2C22"/>
    <w:rsid w:val="007D5658"/>
    <w:rsid w:val="007D6565"/>
    <w:rsid w:val="007E1149"/>
    <w:rsid w:val="007E2C0D"/>
    <w:rsid w:val="007E33F7"/>
    <w:rsid w:val="007E435C"/>
    <w:rsid w:val="007E4A02"/>
    <w:rsid w:val="007E4A20"/>
    <w:rsid w:val="007E6BE6"/>
    <w:rsid w:val="007F0923"/>
    <w:rsid w:val="007F100C"/>
    <w:rsid w:val="007F1496"/>
    <w:rsid w:val="007F1982"/>
    <w:rsid w:val="007F1DBA"/>
    <w:rsid w:val="007F2F9B"/>
    <w:rsid w:val="007F3F3D"/>
    <w:rsid w:val="007F428E"/>
    <w:rsid w:val="007F74ED"/>
    <w:rsid w:val="00800241"/>
    <w:rsid w:val="0080096E"/>
    <w:rsid w:val="008050E6"/>
    <w:rsid w:val="00806B95"/>
    <w:rsid w:val="00807805"/>
    <w:rsid w:val="00807E82"/>
    <w:rsid w:val="00810CFA"/>
    <w:rsid w:val="00811392"/>
    <w:rsid w:val="00812028"/>
    <w:rsid w:val="008137C7"/>
    <w:rsid w:val="00814D03"/>
    <w:rsid w:val="0081537D"/>
    <w:rsid w:val="00816074"/>
    <w:rsid w:val="008202BA"/>
    <w:rsid w:val="00820F4D"/>
    <w:rsid w:val="00824629"/>
    <w:rsid w:val="0083178B"/>
    <w:rsid w:val="00833695"/>
    <w:rsid w:val="00834F99"/>
    <w:rsid w:val="008364EF"/>
    <w:rsid w:val="0083788B"/>
    <w:rsid w:val="00837C66"/>
    <w:rsid w:val="00840378"/>
    <w:rsid w:val="008407B5"/>
    <w:rsid w:val="008409AE"/>
    <w:rsid w:val="00842A21"/>
    <w:rsid w:val="00842CD8"/>
    <w:rsid w:val="008435CC"/>
    <w:rsid w:val="008517DE"/>
    <w:rsid w:val="00851BC3"/>
    <w:rsid w:val="008520D8"/>
    <w:rsid w:val="008525B2"/>
    <w:rsid w:val="008530B2"/>
    <w:rsid w:val="008544FD"/>
    <w:rsid w:val="008553C7"/>
    <w:rsid w:val="00857770"/>
    <w:rsid w:val="00857FEB"/>
    <w:rsid w:val="0086056E"/>
    <w:rsid w:val="00860B95"/>
    <w:rsid w:val="00860BC5"/>
    <w:rsid w:val="008616E0"/>
    <w:rsid w:val="00862050"/>
    <w:rsid w:val="008624AD"/>
    <w:rsid w:val="008624F0"/>
    <w:rsid w:val="00863CA4"/>
    <w:rsid w:val="00864054"/>
    <w:rsid w:val="008646B0"/>
    <w:rsid w:val="00864B45"/>
    <w:rsid w:val="00865838"/>
    <w:rsid w:val="008666D2"/>
    <w:rsid w:val="00871B05"/>
    <w:rsid w:val="008720EB"/>
    <w:rsid w:val="00872125"/>
    <w:rsid w:val="008735BA"/>
    <w:rsid w:val="00873E5C"/>
    <w:rsid w:val="008753FC"/>
    <w:rsid w:val="008777AA"/>
    <w:rsid w:val="008802A6"/>
    <w:rsid w:val="00880A18"/>
    <w:rsid w:val="00880CAF"/>
    <w:rsid w:val="008812FB"/>
    <w:rsid w:val="00881D16"/>
    <w:rsid w:val="00882814"/>
    <w:rsid w:val="00886E97"/>
    <w:rsid w:val="008906A3"/>
    <w:rsid w:val="00891692"/>
    <w:rsid w:val="00891BDD"/>
    <w:rsid w:val="00892002"/>
    <w:rsid w:val="008921CA"/>
    <w:rsid w:val="008934AE"/>
    <w:rsid w:val="008934E6"/>
    <w:rsid w:val="008A46A9"/>
    <w:rsid w:val="008A5A3F"/>
    <w:rsid w:val="008A646F"/>
    <w:rsid w:val="008A702B"/>
    <w:rsid w:val="008A7174"/>
    <w:rsid w:val="008B1BE5"/>
    <w:rsid w:val="008B378C"/>
    <w:rsid w:val="008B3929"/>
    <w:rsid w:val="008B3C2F"/>
    <w:rsid w:val="008B4118"/>
    <w:rsid w:val="008B4208"/>
    <w:rsid w:val="008B45D6"/>
    <w:rsid w:val="008B4CB3"/>
    <w:rsid w:val="008B54B2"/>
    <w:rsid w:val="008B720C"/>
    <w:rsid w:val="008B731A"/>
    <w:rsid w:val="008C0A49"/>
    <w:rsid w:val="008C1C82"/>
    <w:rsid w:val="008C2425"/>
    <w:rsid w:val="008C2444"/>
    <w:rsid w:val="008C3F57"/>
    <w:rsid w:val="008C46FD"/>
    <w:rsid w:val="008C5B1C"/>
    <w:rsid w:val="008C67AF"/>
    <w:rsid w:val="008C78FD"/>
    <w:rsid w:val="008D0EBE"/>
    <w:rsid w:val="008D2355"/>
    <w:rsid w:val="008D2FA9"/>
    <w:rsid w:val="008D3CEA"/>
    <w:rsid w:val="008D5B01"/>
    <w:rsid w:val="008D7B45"/>
    <w:rsid w:val="008E21AA"/>
    <w:rsid w:val="008E22BC"/>
    <w:rsid w:val="008E29B4"/>
    <w:rsid w:val="008E35E2"/>
    <w:rsid w:val="008E5F59"/>
    <w:rsid w:val="008E7AC3"/>
    <w:rsid w:val="008F05F7"/>
    <w:rsid w:val="008F0C84"/>
    <w:rsid w:val="008F1B70"/>
    <w:rsid w:val="008F2143"/>
    <w:rsid w:val="008F25FA"/>
    <w:rsid w:val="008F4A8D"/>
    <w:rsid w:val="00900C34"/>
    <w:rsid w:val="00901121"/>
    <w:rsid w:val="00901DEF"/>
    <w:rsid w:val="00902FF2"/>
    <w:rsid w:val="00903B67"/>
    <w:rsid w:val="0090492D"/>
    <w:rsid w:val="00905B6D"/>
    <w:rsid w:val="0090647C"/>
    <w:rsid w:val="0090651A"/>
    <w:rsid w:val="0091000A"/>
    <w:rsid w:val="00910642"/>
    <w:rsid w:val="00914347"/>
    <w:rsid w:val="009160BB"/>
    <w:rsid w:val="009166AD"/>
    <w:rsid w:val="00917821"/>
    <w:rsid w:val="00917BAC"/>
    <w:rsid w:val="00920B7E"/>
    <w:rsid w:val="00921A22"/>
    <w:rsid w:val="00927293"/>
    <w:rsid w:val="009311C8"/>
    <w:rsid w:val="00931CCC"/>
    <w:rsid w:val="00933376"/>
    <w:rsid w:val="009336FC"/>
    <w:rsid w:val="00936AF3"/>
    <w:rsid w:val="00937CE6"/>
    <w:rsid w:val="00940C5F"/>
    <w:rsid w:val="00942355"/>
    <w:rsid w:val="00942627"/>
    <w:rsid w:val="00943F25"/>
    <w:rsid w:val="00944A10"/>
    <w:rsid w:val="00944F01"/>
    <w:rsid w:val="00945691"/>
    <w:rsid w:val="00945C28"/>
    <w:rsid w:val="00946D29"/>
    <w:rsid w:val="0095050D"/>
    <w:rsid w:val="009513C2"/>
    <w:rsid w:val="0095259F"/>
    <w:rsid w:val="009534EF"/>
    <w:rsid w:val="0095352B"/>
    <w:rsid w:val="00955A7F"/>
    <w:rsid w:val="0095748C"/>
    <w:rsid w:val="0095769E"/>
    <w:rsid w:val="0096077C"/>
    <w:rsid w:val="0096143B"/>
    <w:rsid w:val="00961C28"/>
    <w:rsid w:val="00961FA7"/>
    <w:rsid w:val="009627A5"/>
    <w:rsid w:val="00962C56"/>
    <w:rsid w:val="009632EF"/>
    <w:rsid w:val="00963CE9"/>
    <w:rsid w:val="00964BBF"/>
    <w:rsid w:val="00964F30"/>
    <w:rsid w:val="00965FD5"/>
    <w:rsid w:val="00966052"/>
    <w:rsid w:val="009668DE"/>
    <w:rsid w:val="00967346"/>
    <w:rsid w:val="009711D9"/>
    <w:rsid w:val="009718F9"/>
    <w:rsid w:val="009736B0"/>
    <w:rsid w:val="00974856"/>
    <w:rsid w:val="00975112"/>
    <w:rsid w:val="00975202"/>
    <w:rsid w:val="009753D7"/>
    <w:rsid w:val="00975FB4"/>
    <w:rsid w:val="009761B0"/>
    <w:rsid w:val="00977002"/>
    <w:rsid w:val="009774C4"/>
    <w:rsid w:val="009800C6"/>
    <w:rsid w:val="009811DF"/>
    <w:rsid w:val="0098222A"/>
    <w:rsid w:val="00982B90"/>
    <w:rsid w:val="00982E82"/>
    <w:rsid w:val="00983333"/>
    <w:rsid w:val="00983A7C"/>
    <w:rsid w:val="00984D7B"/>
    <w:rsid w:val="00991B5F"/>
    <w:rsid w:val="00991C2E"/>
    <w:rsid w:val="00991FC5"/>
    <w:rsid w:val="00994102"/>
    <w:rsid w:val="00997999"/>
    <w:rsid w:val="009A0FF6"/>
    <w:rsid w:val="009A11D8"/>
    <w:rsid w:val="009A15FA"/>
    <w:rsid w:val="009A342B"/>
    <w:rsid w:val="009A3B71"/>
    <w:rsid w:val="009A3CA0"/>
    <w:rsid w:val="009A513F"/>
    <w:rsid w:val="009A542C"/>
    <w:rsid w:val="009A60EE"/>
    <w:rsid w:val="009A61BC"/>
    <w:rsid w:val="009A6527"/>
    <w:rsid w:val="009A6763"/>
    <w:rsid w:val="009A676D"/>
    <w:rsid w:val="009A727A"/>
    <w:rsid w:val="009B1466"/>
    <w:rsid w:val="009B23D3"/>
    <w:rsid w:val="009B24B7"/>
    <w:rsid w:val="009B41E7"/>
    <w:rsid w:val="009B424D"/>
    <w:rsid w:val="009B4373"/>
    <w:rsid w:val="009B57FB"/>
    <w:rsid w:val="009B5E59"/>
    <w:rsid w:val="009B7709"/>
    <w:rsid w:val="009C1AC6"/>
    <w:rsid w:val="009C1C75"/>
    <w:rsid w:val="009C37AE"/>
    <w:rsid w:val="009C42BC"/>
    <w:rsid w:val="009C4AAC"/>
    <w:rsid w:val="009C4F04"/>
    <w:rsid w:val="009C692B"/>
    <w:rsid w:val="009C7D08"/>
    <w:rsid w:val="009D12C9"/>
    <w:rsid w:val="009D277F"/>
    <w:rsid w:val="009D677D"/>
    <w:rsid w:val="009D7120"/>
    <w:rsid w:val="009D7DFA"/>
    <w:rsid w:val="009E042D"/>
    <w:rsid w:val="009E1B8B"/>
    <w:rsid w:val="009E37E6"/>
    <w:rsid w:val="009E584D"/>
    <w:rsid w:val="009E5A68"/>
    <w:rsid w:val="009E6427"/>
    <w:rsid w:val="009E71C1"/>
    <w:rsid w:val="009F1533"/>
    <w:rsid w:val="009F2383"/>
    <w:rsid w:val="009F30FF"/>
    <w:rsid w:val="009F3851"/>
    <w:rsid w:val="009F4ADC"/>
    <w:rsid w:val="009F5339"/>
    <w:rsid w:val="009F7540"/>
    <w:rsid w:val="00A00A08"/>
    <w:rsid w:val="00A01CEA"/>
    <w:rsid w:val="00A02980"/>
    <w:rsid w:val="00A04081"/>
    <w:rsid w:val="00A043B4"/>
    <w:rsid w:val="00A04DC0"/>
    <w:rsid w:val="00A05531"/>
    <w:rsid w:val="00A06827"/>
    <w:rsid w:val="00A07737"/>
    <w:rsid w:val="00A07D00"/>
    <w:rsid w:val="00A10614"/>
    <w:rsid w:val="00A10E98"/>
    <w:rsid w:val="00A11768"/>
    <w:rsid w:val="00A12458"/>
    <w:rsid w:val="00A12808"/>
    <w:rsid w:val="00A13499"/>
    <w:rsid w:val="00A140D0"/>
    <w:rsid w:val="00A149C1"/>
    <w:rsid w:val="00A14A93"/>
    <w:rsid w:val="00A167EA"/>
    <w:rsid w:val="00A172EC"/>
    <w:rsid w:val="00A20668"/>
    <w:rsid w:val="00A2172A"/>
    <w:rsid w:val="00A21A93"/>
    <w:rsid w:val="00A21B3B"/>
    <w:rsid w:val="00A22755"/>
    <w:rsid w:val="00A2455B"/>
    <w:rsid w:val="00A245B7"/>
    <w:rsid w:val="00A254E6"/>
    <w:rsid w:val="00A25B4A"/>
    <w:rsid w:val="00A27328"/>
    <w:rsid w:val="00A277F9"/>
    <w:rsid w:val="00A30E68"/>
    <w:rsid w:val="00A31885"/>
    <w:rsid w:val="00A33763"/>
    <w:rsid w:val="00A34AA0"/>
    <w:rsid w:val="00A35B30"/>
    <w:rsid w:val="00A35BEC"/>
    <w:rsid w:val="00A373C4"/>
    <w:rsid w:val="00A37B8E"/>
    <w:rsid w:val="00A41EFC"/>
    <w:rsid w:val="00A4371E"/>
    <w:rsid w:val="00A47733"/>
    <w:rsid w:val="00A47DC5"/>
    <w:rsid w:val="00A511CD"/>
    <w:rsid w:val="00A551E6"/>
    <w:rsid w:val="00A56946"/>
    <w:rsid w:val="00A578D8"/>
    <w:rsid w:val="00A61759"/>
    <w:rsid w:val="00A61E6F"/>
    <w:rsid w:val="00A62790"/>
    <w:rsid w:val="00A63889"/>
    <w:rsid w:val="00A6421B"/>
    <w:rsid w:val="00A64A23"/>
    <w:rsid w:val="00A658E7"/>
    <w:rsid w:val="00A65FF9"/>
    <w:rsid w:val="00A66661"/>
    <w:rsid w:val="00A70705"/>
    <w:rsid w:val="00A70E93"/>
    <w:rsid w:val="00A718F0"/>
    <w:rsid w:val="00A71A15"/>
    <w:rsid w:val="00A74DEC"/>
    <w:rsid w:val="00A76D10"/>
    <w:rsid w:val="00A76DC7"/>
    <w:rsid w:val="00A77D7A"/>
    <w:rsid w:val="00A84269"/>
    <w:rsid w:val="00A84B60"/>
    <w:rsid w:val="00A84E68"/>
    <w:rsid w:val="00A84F62"/>
    <w:rsid w:val="00A8630D"/>
    <w:rsid w:val="00A8684C"/>
    <w:rsid w:val="00A87B6C"/>
    <w:rsid w:val="00A908F9"/>
    <w:rsid w:val="00A91B1B"/>
    <w:rsid w:val="00A9351D"/>
    <w:rsid w:val="00A94A09"/>
    <w:rsid w:val="00A95BFC"/>
    <w:rsid w:val="00A967EE"/>
    <w:rsid w:val="00AA2CD4"/>
    <w:rsid w:val="00AA35C4"/>
    <w:rsid w:val="00AA4277"/>
    <w:rsid w:val="00AA4C2B"/>
    <w:rsid w:val="00AA4D58"/>
    <w:rsid w:val="00AA5B94"/>
    <w:rsid w:val="00AA6265"/>
    <w:rsid w:val="00AB3989"/>
    <w:rsid w:val="00AB46BB"/>
    <w:rsid w:val="00AB4880"/>
    <w:rsid w:val="00AB5963"/>
    <w:rsid w:val="00AB762B"/>
    <w:rsid w:val="00AB78E0"/>
    <w:rsid w:val="00AC0810"/>
    <w:rsid w:val="00AC0B3D"/>
    <w:rsid w:val="00AC14B9"/>
    <w:rsid w:val="00AC1ED1"/>
    <w:rsid w:val="00AC211D"/>
    <w:rsid w:val="00AC3701"/>
    <w:rsid w:val="00AC49D8"/>
    <w:rsid w:val="00AC523C"/>
    <w:rsid w:val="00AC567F"/>
    <w:rsid w:val="00AC6EB1"/>
    <w:rsid w:val="00AD0CCB"/>
    <w:rsid w:val="00AD0D21"/>
    <w:rsid w:val="00AD24CE"/>
    <w:rsid w:val="00AD279E"/>
    <w:rsid w:val="00AD2B89"/>
    <w:rsid w:val="00AD320B"/>
    <w:rsid w:val="00AD3A3C"/>
    <w:rsid w:val="00AD514F"/>
    <w:rsid w:val="00AD5C2E"/>
    <w:rsid w:val="00AD77B4"/>
    <w:rsid w:val="00AE03F2"/>
    <w:rsid w:val="00AE11B7"/>
    <w:rsid w:val="00AE1D85"/>
    <w:rsid w:val="00AE4E07"/>
    <w:rsid w:val="00AE5230"/>
    <w:rsid w:val="00AE572A"/>
    <w:rsid w:val="00AE5901"/>
    <w:rsid w:val="00AE77B6"/>
    <w:rsid w:val="00AF0612"/>
    <w:rsid w:val="00AF0888"/>
    <w:rsid w:val="00AF2170"/>
    <w:rsid w:val="00AF2F4F"/>
    <w:rsid w:val="00AF36B0"/>
    <w:rsid w:val="00AF612D"/>
    <w:rsid w:val="00AF6CAF"/>
    <w:rsid w:val="00AF7691"/>
    <w:rsid w:val="00AF7F47"/>
    <w:rsid w:val="00B00A55"/>
    <w:rsid w:val="00B00F22"/>
    <w:rsid w:val="00B06444"/>
    <w:rsid w:val="00B0686B"/>
    <w:rsid w:val="00B06C4D"/>
    <w:rsid w:val="00B06CE6"/>
    <w:rsid w:val="00B06D4B"/>
    <w:rsid w:val="00B06ED1"/>
    <w:rsid w:val="00B1151F"/>
    <w:rsid w:val="00B13CDC"/>
    <w:rsid w:val="00B201ED"/>
    <w:rsid w:val="00B214B2"/>
    <w:rsid w:val="00B21ABE"/>
    <w:rsid w:val="00B24584"/>
    <w:rsid w:val="00B24C4A"/>
    <w:rsid w:val="00B25CD9"/>
    <w:rsid w:val="00B26CCF"/>
    <w:rsid w:val="00B30004"/>
    <w:rsid w:val="00B30353"/>
    <w:rsid w:val="00B316B9"/>
    <w:rsid w:val="00B322C1"/>
    <w:rsid w:val="00B34C1E"/>
    <w:rsid w:val="00B35331"/>
    <w:rsid w:val="00B36546"/>
    <w:rsid w:val="00B424BA"/>
    <w:rsid w:val="00B456EC"/>
    <w:rsid w:val="00B464BB"/>
    <w:rsid w:val="00B51544"/>
    <w:rsid w:val="00B52E2F"/>
    <w:rsid w:val="00B531DD"/>
    <w:rsid w:val="00B54564"/>
    <w:rsid w:val="00B55390"/>
    <w:rsid w:val="00B56A07"/>
    <w:rsid w:val="00B56D45"/>
    <w:rsid w:val="00B572E8"/>
    <w:rsid w:val="00B57800"/>
    <w:rsid w:val="00B603B4"/>
    <w:rsid w:val="00B60860"/>
    <w:rsid w:val="00B618CB"/>
    <w:rsid w:val="00B63309"/>
    <w:rsid w:val="00B645D2"/>
    <w:rsid w:val="00B658C5"/>
    <w:rsid w:val="00B67E59"/>
    <w:rsid w:val="00B67E6B"/>
    <w:rsid w:val="00B717B0"/>
    <w:rsid w:val="00B71DC2"/>
    <w:rsid w:val="00B73546"/>
    <w:rsid w:val="00B74DD5"/>
    <w:rsid w:val="00B74F88"/>
    <w:rsid w:val="00B7626B"/>
    <w:rsid w:val="00B76565"/>
    <w:rsid w:val="00B76A6E"/>
    <w:rsid w:val="00B80096"/>
    <w:rsid w:val="00B84A83"/>
    <w:rsid w:val="00B879C7"/>
    <w:rsid w:val="00B90D3F"/>
    <w:rsid w:val="00B90DA2"/>
    <w:rsid w:val="00B90E00"/>
    <w:rsid w:val="00B91FE9"/>
    <w:rsid w:val="00B9303C"/>
    <w:rsid w:val="00B93893"/>
    <w:rsid w:val="00B95E58"/>
    <w:rsid w:val="00B95FC2"/>
    <w:rsid w:val="00B97669"/>
    <w:rsid w:val="00B979F2"/>
    <w:rsid w:val="00B97DCD"/>
    <w:rsid w:val="00BA06AC"/>
    <w:rsid w:val="00BA1B1C"/>
    <w:rsid w:val="00BA2CB0"/>
    <w:rsid w:val="00BA3472"/>
    <w:rsid w:val="00BA537F"/>
    <w:rsid w:val="00BA5E9E"/>
    <w:rsid w:val="00BA770E"/>
    <w:rsid w:val="00BA77F1"/>
    <w:rsid w:val="00BA7A60"/>
    <w:rsid w:val="00BA7EDA"/>
    <w:rsid w:val="00BB11E1"/>
    <w:rsid w:val="00BB1594"/>
    <w:rsid w:val="00BB1670"/>
    <w:rsid w:val="00BB2BC0"/>
    <w:rsid w:val="00BB6DA1"/>
    <w:rsid w:val="00BB7ABD"/>
    <w:rsid w:val="00BB7EB7"/>
    <w:rsid w:val="00BC02E9"/>
    <w:rsid w:val="00BC0A80"/>
    <w:rsid w:val="00BC12A3"/>
    <w:rsid w:val="00BC3B53"/>
    <w:rsid w:val="00BC4A98"/>
    <w:rsid w:val="00BC4D64"/>
    <w:rsid w:val="00BC56F5"/>
    <w:rsid w:val="00BC7D8C"/>
    <w:rsid w:val="00BD0011"/>
    <w:rsid w:val="00BD0EBD"/>
    <w:rsid w:val="00BD0F12"/>
    <w:rsid w:val="00BD1454"/>
    <w:rsid w:val="00BD3130"/>
    <w:rsid w:val="00BD3D78"/>
    <w:rsid w:val="00BD4221"/>
    <w:rsid w:val="00BD4929"/>
    <w:rsid w:val="00BD5DFC"/>
    <w:rsid w:val="00BD6BAD"/>
    <w:rsid w:val="00BD7AE6"/>
    <w:rsid w:val="00BE0B32"/>
    <w:rsid w:val="00BE134B"/>
    <w:rsid w:val="00BE2497"/>
    <w:rsid w:val="00BE3104"/>
    <w:rsid w:val="00BE458E"/>
    <w:rsid w:val="00BE5564"/>
    <w:rsid w:val="00BE7B8D"/>
    <w:rsid w:val="00BF078F"/>
    <w:rsid w:val="00BF1365"/>
    <w:rsid w:val="00BF2B59"/>
    <w:rsid w:val="00BF2C4F"/>
    <w:rsid w:val="00BF37A3"/>
    <w:rsid w:val="00BF3D01"/>
    <w:rsid w:val="00BF5B51"/>
    <w:rsid w:val="00C00B67"/>
    <w:rsid w:val="00C00F4E"/>
    <w:rsid w:val="00C01061"/>
    <w:rsid w:val="00C010DC"/>
    <w:rsid w:val="00C02F62"/>
    <w:rsid w:val="00C05318"/>
    <w:rsid w:val="00C10869"/>
    <w:rsid w:val="00C117E2"/>
    <w:rsid w:val="00C11933"/>
    <w:rsid w:val="00C12C00"/>
    <w:rsid w:val="00C12E90"/>
    <w:rsid w:val="00C12EB9"/>
    <w:rsid w:val="00C1320B"/>
    <w:rsid w:val="00C14CC1"/>
    <w:rsid w:val="00C14D27"/>
    <w:rsid w:val="00C17758"/>
    <w:rsid w:val="00C206F1"/>
    <w:rsid w:val="00C26035"/>
    <w:rsid w:val="00C26079"/>
    <w:rsid w:val="00C27206"/>
    <w:rsid w:val="00C30AC1"/>
    <w:rsid w:val="00C3189F"/>
    <w:rsid w:val="00C3256E"/>
    <w:rsid w:val="00C33340"/>
    <w:rsid w:val="00C3445F"/>
    <w:rsid w:val="00C35A91"/>
    <w:rsid w:val="00C371A6"/>
    <w:rsid w:val="00C40C60"/>
    <w:rsid w:val="00C418F0"/>
    <w:rsid w:val="00C41C58"/>
    <w:rsid w:val="00C42F03"/>
    <w:rsid w:val="00C43022"/>
    <w:rsid w:val="00C447C0"/>
    <w:rsid w:val="00C458C9"/>
    <w:rsid w:val="00C461DC"/>
    <w:rsid w:val="00C46B84"/>
    <w:rsid w:val="00C4720A"/>
    <w:rsid w:val="00C50ECF"/>
    <w:rsid w:val="00C52281"/>
    <w:rsid w:val="00C52E42"/>
    <w:rsid w:val="00C53426"/>
    <w:rsid w:val="00C54FEA"/>
    <w:rsid w:val="00C55E5A"/>
    <w:rsid w:val="00C56BE8"/>
    <w:rsid w:val="00C60E49"/>
    <w:rsid w:val="00C62A0B"/>
    <w:rsid w:val="00C63108"/>
    <w:rsid w:val="00C638E2"/>
    <w:rsid w:val="00C64D1F"/>
    <w:rsid w:val="00C6537C"/>
    <w:rsid w:val="00C666E4"/>
    <w:rsid w:val="00C7655C"/>
    <w:rsid w:val="00C7685C"/>
    <w:rsid w:val="00C77CAD"/>
    <w:rsid w:val="00C812F7"/>
    <w:rsid w:val="00C82501"/>
    <w:rsid w:val="00C82DBF"/>
    <w:rsid w:val="00C833B6"/>
    <w:rsid w:val="00C85838"/>
    <w:rsid w:val="00C876B7"/>
    <w:rsid w:val="00C90846"/>
    <w:rsid w:val="00C91B2C"/>
    <w:rsid w:val="00C92CA5"/>
    <w:rsid w:val="00C93B39"/>
    <w:rsid w:val="00C94E20"/>
    <w:rsid w:val="00C95961"/>
    <w:rsid w:val="00CA0A69"/>
    <w:rsid w:val="00CA0E76"/>
    <w:rsid w:val="00CA2A15"/>
    <w:rsid w:val="00CA331B"/>
    <w:rsid w:val="00CA40F8"/>
    <w:rsid w:val="00CA46E9"/>
    <w:rsid w:val="00CA473C"/>
    <w:rsid w:val="00CA47D3"/>
    <w:rsid w:val="00CA52E3"/>
    <w:rsid w:val="00CA53DE"/>
    <w:rsid w:val="00CA58C3"/>
    <w:rsid w:val="00CA5BC9"/>
    <w:rsid w:val="00CA5E63"/>
    <w:rsid w:val="00CA5EDB"/>
    <w:rsid w:val="00CA6A55"/>
    <w:rsid w:val="00CA6DEF"/>
    <w:rsid w:val="00CB156F"/>
    <w:rsid w:val="00CB1842"/>
    <w:rsid w:val="00CB1BBD"/>
    <w:rsid w:val="00CB3777"/>
    <w:rsid w:val="00CB5A73"/>
    <w:rsid w:val="00CC0BB4"/>
    <w:rsid w:val="00CC12DF"/>
    <w:rsid w:val="00CC1E51"/>
    <w:rsid w:val="00CC4D8D"/>
    <w:rsid w:val="00CC63E0"/>
    <w:rsid w:val="00CC6FDD"/>
    <w:rsid w:val="00CD1689"/>
    <w:rsid w:val="00CD2492"/>
    <w:rsid w:val="00CD3964"/>
    <w:rsid w:val="00CD47BA"/>
    <w:rsid w:val="00CD5427"/>
    <w:rsid w:val="00CD604A"/>
    <w:rsid w:val="00CD6791"/>
    <w:rsid w:val="00CD6AD2"/>
    <w:rsid w:val="00CD73ED"/>
    <w:rsid w:val="00CD7B6F"/>
    <w:rsid w:val="00CE15C4"/>
    <w:rsid w:val="00CE2E6A"/>
    <w:rsid w:val="00CE2EA9"/>
    <w:rsid w:val="00CE3A47"/>
    <w:rsid w:val="00CE41DA"/>
    <w:rsid w:val="00CE6D64"/>
    <w:rsid w:val="00CE74D9"/>
    <w:rsid w:val="00CF053F"/>
    <w:rsid w:val="00CF0A55"/>
    <w:rsid w:val="00CF301C"/>
    <w:rsid w:val="00CF7C8B"/>
    <w:rsid w:val="00D00180"/>
    <w:rsid w:val="00D00793"/>
    <w:rsid w:val="00D01D15"/>
    <w:rsid w:val="00D04083"/>
    <w:rsid w:val="00D06A9A"/>
    <w:rsid w:val="00D070F2"/>
    <w:rsid w:val="00D078E1"/>
    <w:rsid w:val="00D102D2"/>
    <w:rsid w:val="00D106B6"/>
    <w:rsid w:val="00D10AEF"/>
    <w:rsid w:val="00D12A7F"/>
    <w:rsid w:val="00D130EA"/>
    <w:rsid w:val="00D131D6"/>
    <w:rsid w:val="00D135BA"/>
    <w:rsid w:val="00D14B8F"/>
    <w:rsid w:val="00D17A1D"/>
    <w:rsid w:val="00D20C77"/>
    <w:rsid w:val="00D218AC"/>
    <w:rsid w:val="00D221A6"/>
    <w:rsid w:val="00D232A2"/>
    <w:rsid w:val="00D23522"/>
    <w:rsid w:val="00D25C90"/>
    <w:rsid w:val="00D25F5C"/>
    <w:rsid w:val="00D26196"/>
    <w:rsid w:val="00D279AE"/>
    <w:rsid w:val="00D30900"/>
    <w:rsid w:val="00D30BF5"/>
    <w:rsid w:val="00D30F08"/>
    <w:rsid w:val="00D311EA"/>
    <w:rsid w:val="00D31C61"/>
    <w:rsid w:val="00D323BE"/>
    <w:rsid w:val="00D32F98"/>
    <w:rsid w:val="00D357C1"/>
    <w:rsid w:val="00D358D8"/>
    <w:rsid w:val="00D365C5"/>
    <w:rsid w:val="00D36C95"/>
    <w:rsid w:val="00D405AB"/>
    <w:rsid w:val="00D41280"/>
    <w:rsid w:val="00D43528"/>
    <w:rsid w:val="00D45EB0"/>
    <w:rsid w:val="00D46125"/>
    <w:rsid w:val="00D4642C"/>
    <w:rsid w:val="00D4733F"/>
    <w:rsid w:val="00D51EC1"/>
    <w:rsid w:val="00D52F46"/>
    <w:rsid w:val="00D5423B"/>
    <w:rsid w:val="00D54F4E"/>
    <w:rsid w:val="00D55865"/>
    <w:rsid w:val="00D56274"/>
    <w:rsid w:val="00D57CD3"/>
    <w:rsid w:val="00D60BA4"/>
    <w:rsid w:val="00D61E03"/>
    <w:rsid w:val="00D62F23"/>
    <w:rsid w:val="00D6528F"/>
    <w:rsid w:val="00D66215"/>
    <w:rsid w:val="00D666D5"/>
    <w:rsid w:val="00D67A7A"/>
    <w:rsid w:val="00D67F8F"/>
    <w:rsid w:val="00D711A5"/>
    <w:rsid w:val="00D713FF"/>
    <w:rsid w:val="00D72421"/>
    <w:rsid w:val="00D734E5"/>
    <w:rsid w:val="00D73F97"/>
    <w:rsid w:val="00D745A7"/>
    <w:rsid w:val="00D74A0F"/>
    <w:rsid w:val="00D74D0A"/>
    <w:rsid w:val="00D767FA"/>
    <w:rsid w:val="00D80CCE"/>
    <w:rsid w:val="00D81D90"/>
    <w:rsid w:val="00D82202"/>
    <w:rsid w:val="00D83104"/>
    <w:rsid w:val="00D83137"/>
    <w:rsid w:val="00D85213"/>
    <w:rsid w:val="00D85A93"/>
    <w:rsid w:val="00D87FF1"/>
    <w:rsid w:val="00D92483"/>
    <w:rsid w:val="00D92633"/>
    <w:rsid w:val="00D93CE9"/>
    <w:rsid w:val="00D94DB4"/>
    <w:rsid w:val="00D951CB"/>
    <w:rsid w:val="00D953D2"/>
    <w:rsid w:val="00D97DDC"/>
    <w:rsid w:val="00DA0A8A"/>
    <w:rsid w:val="00DA11ED"/>
    <w:rsid w:val="00DA2288"/>
    <w:rsid w:val="00DA243E"/>
    <w:rsid w:val="00DA298C"/>
    <w:rsid w:val="00DB030C"/>
    <w:rsid w:val="00DB0D20"/>
    <w:rsid w:val="00DB2280"/>
    <w:rsid w:val="00DB403F"/>
    <w:rsid w:val="00DB4A3A"/>
    <w:rsid w:val="00DB4FA7"/>
    <w:rsid w:val="00DB7D94"/>
    <w:rsid w:val="00DC0947"/>
    <w:rsid w:val="00DC1AA9"/>
    <w:rsid w:val="00DC2000"/>
    <w:rsid w:val="00DC4237"/>
    <w:rsid w:val="00DC6E11"/>
    <w:rsid w:val="00DD1B91"/>
    <w:rsid w:val="00DD368B"/>
    <w:rsid w:val="00DD6E29"/>
    <w:rsid w:val="00DE0704"/>
    <w:rsid w:val="00DE2DA8"/>
    <w:rsid w:val="00DE343C"/>
    <w:rsid w:val="00DE4B93"/>
    <w:rsid w:val="00DE575C"/>
    <w:rsid w:val="00DE578A"/>
    <w:rsid w:val="00DE5D8B"/>
    <w:rsid w:val="00DE6A7A"/>
    <w:rsid w:val="00DE6AC5"/>
    <w:rsid w:val="00DE6E7E"/>
    <w:rsid w:val="00DE7DDA"/>
    <w:rsid w:val="00DF1356"/>
    <w:rsid w:val="00DF1D1E"/>
    <w:rsid w:val="00DF2583"/>
    <w:rsid w:val="00DF54D9"/>
    <w:rsid w:val="00DF6973"/>
    <w:rsid w:val="00DF79E9"/>
    <w:rsid w:val="00E00687"/>
    <w:rsid w:val="00E008CB"/>
    <w:rsid w:val="00E021C8"/>
    <w:rsid w:val="00E03716"/>
    <w:rsid w:val="00E03D32"/>
    <w:rsid w:val="00E03E8B"/>
    <w:rsid w:val="00E04465"/>
    <w:rsid w:val="00E04E34"/>
    <w:rsid w:val="00E05FDB"/>
    <w:rsid w:val="00E1058B"/>
    <w:rsid w:val="00E10991"/>
    <w:rsid w:val="00E10DC6"/>
    <w:rsid w:val="00E11F8E"/>
    <w:rsid w:val="00E12B7F"/>
    <w:rsid w:val="00E145EA"/>
    <w:rsid w:val="00E153A3"/>
    <w:rsid w:val="00E1713F"/>
    <w:rsid w:val="00E17944"/>
    <w:rsid w:val="00E17BC5"/>
    <w:rsid w:val="00E20A86"/>
    <w:rsid w:val="00E22722"/>
    <w:rsid w:val="00E2347F"/>
    <w:rsid w:val="00E26532"/>
    <w:rsid w:val="00E276B2"/>
    <w:rsid w:val="00E31CB7"/>
    <w:rsid w:val="00E33FD4"/>
    <w:rsid w:val="00E345A0"/>
    <w:rsid w:val="00E34ED6"/>
    <w:rsid w:val="00E3596E"/>
    <w:rsid w:val="00E364EF"/>
    <w:rsid w:val="00E36ADA"/>
    <w:rsid w:val="00E372EF"/>
    <w:rsid w:val="00E4094E"/>
    <w:rsid w:val="00E426A4"/>
    <w:rsid w:val="00E42D22"/>
    <w:rsid w:val="00E43E02"/>
    <w:rsid w:val="00E4573C"/>
    <w:rsid w:val="00E458E2"/>
    <w:rsid w:val="00E45F37"/>
    <w:rsid w:val="00E466F2"/>
    <w:rsid w:val="00E50A17"/>
    <w:rsid w:val="00E50BD4"/>
    <w:rsid w:val="00E51959"/>
    <w:rsid w:val="00E5343B"/>
    <w:rsid w:val="00E54751"/>
    <w:rsid w:val="00E56173"/>
    <w:rsid w:val="00E56899"/>
    <w:rsid w:val="00E56ADD"/>
    <w:rsid w:val="00E575BA"/>
    <w:rsid w:val="00E5788D"/>
    <w:rsid w:val="00E57CC8"/>
    <w:rsid w:val="00E6061C"/>
    <w:rsid w:val="00E62286"/>
    <w:rsid w:val="00E6338D"/>
    <w:rsid w:val="00E634B6"/>
    <w:rsid w:val="00E634E3"/>
    <w:rsid w:val="00E645B1"/>
    <w:rsid w:val="00E6586E"/>
    <w:rsid w:val="00E659A6"/>
    <w:rsid w:val="00E724F5"/>
    <w:rsid w:val="00E727EE"/>
    <w:rsid w:val="00E75648"/>
    <w:rsid w:val="00E75C19"/>
    <w:rsid w:val="00E75D2C"/>
    <w:rsid w:val="00E80F31"/>
    <w:rsid w:val="00E82965"/>
    <w:rsid w:val="00E85102"/>
    <w:rsid w:val="00E8592D"/>
    <w:rsid w:val="00E8643A"/>
    <w:rsid w:val="00E86633"/>
    <w:rsid w:val="00E86D3B"/>
    <w:rsid w:val="00E876A6"/>
    <w:rsid w:val="00E91348"/>
    <w:rsid w:val="00E9497F"/>
    <w:rsid w:val="00E95212"/>
    <w:rsid w:val="00E96D0E"/>
    <w:rsid w:val="00EA0AA8"/>
    <w:rsid w:val="00EA14C5"/>
    <w:rsid w:val="00EA1765"/>
    <w:rsid w:val="00EA26EF"/>
    <w:rsid w:val="00EA3241"/>
    <w:rsid w:val="00EA3B5F"/>
    <w:rsid w:val="00EA5786"/>
    <w:rsid w:val="00EA615D"/>
    <w:rsid w:val="00EA75C1"/>
    <w:rsid w:val="00EA7B10"/>
    <w:rsid w:val="00EB141A"/>
    <w:rsid w:val="00EB2DEB"/>
    <w:rsid w:val="00EB40BD"/>
    <w:rsid w:val="00EB497B"/>
    <w:rsid w:val="00EB5148"/>
    <w:rsid w:val="00EB6D1A"/>
    <w:rsid w:val="00EB7038"/>
    <w:rsid w:val="00EB7550"/>
    <w:rsid w:val="00EB7C2E"/>
    <w:rsid w:val="00EC0F04"/>
    <w:rsid w:val="00EC1309"/>
    <w:rsid w:val="00EC237D"/>
    <w:rsid w:val="00EC3951"/>
    <w:rsid w:val="00EC5F70"/>
    <w:rsid w:val="00EC6A89"/>
    <w:rsid w:val="00EC6AAB"/>
    <w:rsid w:val="00EC6F2A"/>
    <w:rsid w:val="00ED2F32"/>
    <w:rsid w:val="00ED4248"/>
    <w:rsid w:val="00ED4C7A"/>
    <w:rsid w:val="00ED60CA"/>
    <w:rsid w:val="00ED64EF"/>
    <w:rsid w:val="00ED6C2B"/>
    <w:rsid w:val="00ED6CDA"/>
    <w:rsid w:val="00EE0CAE"/>
    <w:rsid w:val="00EE0EC3"/>
    <w:rsid w:val="00EE1819"/>
    <w:rsid w:val="00EE1A75"/>
    <w:rsid w:val="00EE1B9E"/>
    <w:rsid w:val="00EE1DC0"/>
    <w:rsid w:val="00EE4A1F"/>
    <w:rsid w:val="00EE53EA"/>
    <w:rsid w:val="00EE7C30"/>
    <w:rsid w:val="00EF009A"/>
    <w:rsid w:val="00EF0D0D"/>
    <w:rsid w:val="00EF0ED5"/>
    <w:rsid w:val="00EF1B5A"/>
    <w:rsid w:val="00EF2CCA"/>
    <w:rsid w:val="00EF61AC"/>
    <w:rsid w:val="00EF791D"/>
    <w:rsid w:val="00F01325"/>
    <w:rsid w:val="00F0172C"/>
    <w:rsid w:val="00F017B1"/>
    <w:rsid w:val="00F01BA1"/>
    <w:rsid w:val="00F03E1B"/>
    <w:rsid w:val="00F04D64"/>
    <w:rsid w:val="00F057E0"/>
    <w:rsid w:val="00F10ADF"/>
    <w:rsid w:val="00F13F47"/>
    <w:rsid w:val="00F15F6D"/>
    <w:rsid w:val="00F16D67"/>
    <w:rsid w:val="00F16EBD"/>
    <w:rsid w:val="00F214D5"/>
    <w:rsid w:val="00F229EF"/>
    <w:rsid w:val="00F22C62"/>
    <w:rsid w:val="00F24A31"/>
    <w:rsid w:val="00F24AB6"/>
    <w:rsid w:val="00F24E4E"/>
    <w:rsid w:val="00F2583A"/>
    <w:rsid w:val="00F25B7F"/>
    <w:rsid w:val="00F26059"/>
    <w:rsid w:val="00F2608D"/>
    <w:rsid w:val="00F313B0"/>
    <w:rsid w:val="00F32217"/>
    <w:rsid w:val="00F329A9"/>
    <w:rsid w:val="00F33E73"/>
    <w:rsid w:val="00F343DA"/>
    <w:rsid w:val="00F359F8"/>
    <w:rsid w:val="00F3652C"/>
    <w:rsid w:val="00F366F4"/>
    <w:rsid w:val="00F36803"/>
    <w:rsid w:val="00F376A8"/>
    <w:rsid w:val="00F432D4"/>
    <w:rsid w:val="00F43D1A"/>
    <w:rsid w:val="00F43E8A"/>
    <w:rsid w:val="00F44B0F"/>
    <w:rsid w:val="00F45528"/>
    <w:rsid w:val="00F45B36"/>
    <w:rsid w:val="00F46AA1"/>
    <w:rsid w:val="00F47235"/>
    <w:rsid w:val="00F47A9A"/>
    <w:rsid w:val="00F50554"/>
    <w:rsid w:val="00F51771"/>
    <w:rsid w:val="00F53F91"/>
    <w:rsid w:val="00F56255"/>
    <w:rsid w:val="00F57321"/>
    <w:rsid w:val="00F57CD4"/>
    <w:rsid w:val="00F613E9"/>
    <w:rsid w:val="00F6168C"/>
    <w:rsid w:val="00F61A19"/>
    <w:rsid w:val="00F61A72"/>
    <w:rsid w:val="00F62D1F"/>
    <w:rsid w:val="00F6371E"/>
    <w:rsid w:val="00F63E0E"/>
    <w:rsid w:val="00F65951"/>
    <w:rsid w:val="00F65DE4"/>
    <w:rsid w:val="00F66F13"/>
    <w:rsid w:val="00F67DEF"/>
    <w:rsid w:val="00F74073"/>
    <w:rsid w:val="00F74376"/>
    <w:rsid w:val="00F74AC4"/>
    <w:rsid w:val="00F74D7D"/>
    <w:rsid w:val="00F7614E"/>
    <w:rsid w:val="00F77453"/>
    <w:rsid w:val="00F80F82"/>
    <w:rsid w:val="00F81A04"/>
    <w:rsid w:val="00F83026"/>
    <w:rsid w:val="00F84116"/>
    <w:rsid w:val="00F84B31"/>
    <w:rsid w:val="00F8524E"/>
    <w:rsid w:val="00F85776"/>
    <w:rsid w:val="00F86457"/>
    <w:rsid w:val="00F8778E"/>
    <w:rsid w:val="00F87D67"/>
    <w:rsid w:val="00F87D80"/>
    <w:rsid w:val="00F90E04"/>
    <w:rsid w:val="00F9189A"/>
    <w:rsid w:val="00F928C5"/>
    <w:rsid w:val="00F935E0"/>
    <w:rsid w:val="00F970A1"/>
    <w:rsid w:val="00FA1759"/>
    <w:rsid w:val="00FA1BB1"/>
    <w:rsid w:val="00FA277B"/>
    <w:rsid w:val="00FA4337"/>
    <w:rsid w:val="00FB06ED"/>
    <w:rsid w:val="00FB32A8"/>
    <w:rsid w:val="00FB76DB"/>
    <w:rsid w:val="00FC084D"/>
    <w:rsid w:val="00FC1FA3"/>
    <w:rsid w:val="00FC36AB"/>
    <w:rsid w:val="00FC3F21"/>
    <w:rsid w:val="00FC4FED"/>
    <w:rsid w:val="00FC5A5F"/>
    <w:rsid w:val="00FC6AB4"/>
    <w:rsid w:val="00FC6EC6"/>
    <w:rsid w:val="00FD09E3"/>
    <w:rsid w:val="00FD1727"/>
    <w:rsid w:val="00FD1D6B"/>
    <w:rsid w:val="00FD2798"/>
    <w:rsid w:val="00FD2A72"/>
    <w:rsid w:val="00FD5353"/>
    <w:rsid w:val="00FD55EA"/>
    <w:rsid w:val="00FD5819"/>
    <w:rsid w:val="00FD5D9E"/>
    <w:rsid w:val="00FD724E"/>
    <w:rsid w:val="00FE15EB"/>
    <w:rsid w:val="00FE2033"/>
    <w:rsid w:val="00FE4F08"/>
    <w:rsid w:val="00FE533F"/>
    <w:rsid w:val="00FE5C0A"/>
    <w:rsid w:val="00FE64E4"/>
    <w:rsid w:val="00FF0D35"/>
    <w:rsid w:val="00FF0DF2"/>
    <w:rsid w:val="00FF1153"/>
    <w:rsid w:val="00FF3A5A"/>
    <w:rsid w:val="00FF5128"/>
    <w:rsid w:val="00FF6EDD"/>
    <w:rsid w:val="00FF7A01"/>
    <w:rsid w:val="274800A5"/>
    <w:rsid w:val="285452C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fill="f" fillcolor="white" stroke="f">
      <v:fill color="white" on="f"/>
      <v:stroke on="f"/>
    </o:shapedefaults>
    <o:shapelayout v:ext="edit">
      <o:idmap v:ext="edit" data="1"/>
    </o:shapelayout>
  </w:shapeDefaults>
  <w:decimalSymbol w:val=","/>
  <w:listSeparator w:val=";"/>
  <w14:docId w14:val="7CA561C2"/>
  <w15:docId w15:val="{6618209F-F0F0-493D-8C6A-E661E507C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4"/>
    <w:pPr>
      <w:spacing w:line="240" w:lineRule="atLeast"/>
    </w:pPr>
    <w:rPr>
      <w:rFonts w:ascii="Verdana" w:hAnsi="Verdana"/>
      <w:sz w:val="18"/>
      <w:szCs w:val="24"/>
      <w:lang w:val="nl-NL" w:eastAsia="nl-NL"/>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link w:val="FooterChar"/>
    <w:uiPriority w:val="99"/>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link w:val="BodyTextChar"/>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lang w:val="nl-NL" w:eastAsia="nl-NL"/>
    </w:rPr>
  </w:style>
  <w:style w:type="paragraph" w:styleId="ListParagraph">
    <w:name w:val="List Paragraph"/>
    <w:basedOn w:val="Normal"/>
    <w:uiPriority w:val="34"/>
    <w:qFormat/>
    <w:rsid w:val="00F935E0"/>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D0EBD"/>
    <w:pPr>
      <w:autoSpaceDE w:val="0"/>
      <w:autoSpaceDN w:val="0"/>
      <w:adjustRightInd w:val="0"/>
    </w:pPr>
    <w:rPr>
      <w:color w:val="000000"/>
      <w:sz w:val="24"/>
      <w:szCs w:val="24"/>
      <w:lang w:val="nl-NL" w:eastAsia="nl-NL"/>
    </w:rPr>
  </w:style>
  <w:style w:type="character" w:styleId="FollowedHyperlink">
    <w:name w:val="FollowedHyperlink"/>
    <w:rsid w:val="00737BB2"/>
    <w:rPr>
      <w:color w:val="954F72"/>
      <w:u w:val="single"/>
    </w:rPr>
  </w:style>
  <w:style w:type="character" w:styleId="Strong">
    <w:name w:val="Strong"/>
    <w:uiPriority w:val="22"/>
    <w:qFormat/>
    <w:rsid w:val="00056547"/>
    <w:rPr>
      <w:b/>
      <w:bCs/>
    </w:rPr>
  </w:style>
  <w:style w:type="character" w:styleId="Emphasis">
    <w:name w:val="Emphasis"/>
    <w:basedOn w:val="DefaultParagraphFont"/>
    <w:uiPriority w:val="20"/>
    <w:qFormat/>
    <w:rsid w:val="00C94E20"/>
    <w:rPr>
      <w:i/>
      <w:iCs/>
    </w:rPr>
  </w:style>
  <w:style w:type="character" w:customStyle="1" w:styleId="BodyTextChar">
    <w:name w:val="Body Text Char"/>
    <w:basedOn w:val="DefaultParagraphFont"/>
    <w:link w:val="BodyText"/>
    <w:rsid w:val="006E555B"/>
    <w:rPr>
      <w:rFonts w:ascii="Verdana" w:hAnsi="Verdana"/>
      <w:sz w:val="18"/>
      <w:szCs w:val="24"/>
      <w:lang w:val="nl-NL" w:eastAsia="nl-NL"/>
    </w:rPr>
  </w:style>
  <w:style w:type="character" w:customStyle="1" w:styleId="normaltextrun">
    <w:name w:val="normaltextrun"/>
    <w:basedOn w:val="DefaultParagraphFont"/>
    <w:rsid w:val="00CA5EDB"/>
  </w:style>
  <w:style w:type="character" w:customStyle="1" w:styleId="FooterChar">
    <w:name w:val="Footer Char"/>
    <w:basedOn w:val="DefaultParagraphFont"/>
    <w:link w:val="Footer"/>
    <w:uiPriority w:val="99"/>
    <w:rsid w:val="0011757B"/>
    <w:rPr>
      <w:rFonts w:ascii="Verdana" w:hAnsi="Verdana"/>
      <w:sz w:val="18"/>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0843">
      <w:bodyDiv w:val="1"/>
      <w:marLeft w:val="0"/>
      <w:marRight w:val="0"/>
      <w:marTop w:val="0"/>
      <w:marBottom w:val="0"/>
      <w:divBdr>
        <w:top w:val="none" w:sz="0" w:space="0" w:color="auto"/>
        <w:left w:val="none" w:sz="0" w:space="0" w:color="auto"/>
        <w:bottom w:val="none" w:sz="0" w:space="0" w:color="auto"/>
        <w:right w:val="none" w:sz="0" w:space="0" w:color="auto"/>
      </w:divBdr>
    </w:div>
    <w:div w:id="186260213">
      <w:bodyDiv w:val="1"/>
      <w:marLeft w:val="0"/>
      <w:marRight w:val="0"/>
      <w:marTop w:val="0"/>
      <w:marBottom w:val="0"/>
      <w:divBdr>
        <w:top w:val="none" w:sz="0" w:space="0" w:color="auto"/>
        <w:left w:val="none" w:sz="0" w:space="0" w:color="auto"/>
        <w:bottom w:val="none" w:sz="0" w:space="0" w:color="auto"/>
        <w:right w:val="none" w:sz="0" w:space="0" w:color="auto"/>
      </w:divBdr>
    </w:div>
    <w:div w:id="226107960">
      <w:bodyDiv w:val="1"/>
      <w:marLeft w:val="0"/>
      <w:marRight w:val="0"/>
      <w:marTop w:val="0"/>
      <w:marBottom w:val="0"/>
      <w:divBdr>
        <w:top w:val="none" w:sz="0" w:space="0" w:color="auto"/>
        <w:left w:val="none" w:sz="0" w:space="0" w:color="auto"/>
        <w:bottom w:val="none" w:sz="0" w:space="0" w:color="auto"/>
        <w:right w:val="none" w:sz="0" w:space="0" w:color="auto"/>
      </w:divBdr>
    </w:div>
    <w:div w:id="332220031">
      <w:bodyDiv w:val="1"/>
      <w:marLeft w:val="0"/>
      <w:marRight w:val="0"/>
      <w:marTop w:val="0"/>
      <w:marBottom w:val="0"/>
      <w:divBdr>
        <w:top w:val="none" w:sz="0" w:space="0" w:color="auto"/>
        <w:left w:val="none" w:sz="0" w:space="0" w:color="auto"/>
        <w:bottom w:val="none" w:sz="0" w:space="0" w:color="auto"/>
        <w:right w:val="none" w:sz="0" w:space="0" w:color="auto"/>
      </w:divBdr>
    </w:div>
    <w:div w:id="352196960">
      <w:bodyDiv w:val="1"/>
      <w:marLeft w:val="0"/>
      <w:marRight w:val="0"/>
      <w:marTop w:val="0"/>
      <w:marBottom w:val="0"/>
      <w:divBdr>
        <w:top w:val="none" w:sz="0" w:space="0" w:color="auto"/>
        <w:left w:val="none" w:sz="0" w:space="0" w:color="auto"/>
        <w:bottom w:val="none" w:sz="0" w:space="0" w:color="auto"/>
        <w:right w:val="none" w:sz="0" w:space="0" w:color="auto"/>
      </w:divBdr>
    </w:div>
    <w:div w:id="439880778">
      <w:bodyDiv w:val="1"/>
      <w:marLeft w:val="0"/>
      <w:marRight w:val="0"/>
      <w:marTop w:val="0"/>
      <w:marBottom w:val="0"/>
      <w:divBdr>
        <w:top w:val="none" w:sz="0" w:space="0" w:color="auto"/>
        <w:left w:val="none" w:sz="0" w:space="0" w:color="auto"/>
        <w:bottom w:val="none" w:sz="0" w:space="0" w:color="auto"/>
        <w:right w:val="none" w:sz="0" w:space="0" w:color="auto"/>
      </w:divBdr>
    </w:div>
    <w:div w:id="446772680">
      <w:bodyDiv w:val="1"/>
      <w:marLeft w:val="0"/>
      <w:marRight w:val="0"/>
      <w:marTop w:val="0"/>
      <w:marBottom w:val="0"/>
      <w:divBdr>
        <w:top w:val="none" w:sz="0" w:space="0" w:color="auto"/>
        <w:left w:val="none" w:sz="0" w:space="0" w:color="auto"/>
        <w:bottom w:val="none" w:sz="0" w:space="0" w:color="auto"/>
        <w:right w:val="none" w:sz="0" w:space="0" w:color="auto"/>
      </w:divBdr>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470610">
      <w:bodyDiv w:val="1"/>
      <w:marLeft w:val="0"/>
      <w:marRight w:val="0"/>
      <w:marTop w:val="0"/>
      <w:marBottom w:val="0"/>
      <w:divBdr>
        <w:top w:val="none" w:sz="0" w:space="0" w:color="auto"/>
        <w:left w:val="none" w:sz="0" w:space="0" w:color="auto"/>
        <w:bottom w:val="none" w:sz="0" w:space="0" w:color="auto"/>
        <w:right w:val="none" w:sz="0" w:space="0" w:color="auto"/>
      </w:divBdr>
    </w:div>
    <w:div w:id="725764497">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884214167">
      <w:bodyDiv w:val="1"/>
      <w:marLeft w:val="0"/>
      <w:marRight w:val="0"/>
      <w:marTop w:val="0"/>
      <w:marBottom w:val="0"/>
      <w:divBdr>
        <w:top w:val="none" w:sz="0" w:space="0" w:color="auto"/>
        <w:left w:val="none" w:sz="0" w:space="0" w:color="auto"/>
        <w:bottom w:val="none" w:sz="0" w:space="0" w:color="auto"/>
        <w:right w:val="none" w:sz="0" w:space="0" w:color="auto"/>
      </w:divBdr>
    </w:div>
    <w:div w:id="945161905">
      <w:bodyDiv w:val="1"/>
      <w:marLeft w:val="0"/>
      <w:marRight w:val="0"/>
      <w:marTop w:val="0"/>
      <w:marBottom w:val="0"/>
      <w:divBdr>
        <w:top w:val="none" w:sz="0" w:space="0" w:color="auto"/>
        <w:left w:val="none" w:sz="0" w:space="0" w:color="auto"/>
        <w:bottom w:val="none" w:sz="0" w:space="0" w:color="auto"/>
        <w:right w:val="none" w:sz="0" w:space="0" w:color="auto"/>
      </w:divBdr>
    </w:div>
    <w:div w:id="1113019934">
      <w:bodyDiv w:val="1"/>
      <w:marLeft w:val="0"/>
      <w:marRight w:val="0"/>
      <w:marTop w:val="0"/>
      <w:marBottom w:val="0"/>
      <w:divBdr>
        <w:top w:val="none" w:sz="0" w:space="0" w:color="auto"/>
        <w:left w:val="none" w:sz="0" w:space="0" w:color="auto"/>
        <w:bottom w:val="none" w:sz="0" w:space="0" w:color="auto"/>
        <w:right w:val="none" w:sz="0" w:space="0" w:color="auto"/>
      </w:divBdr>
    </w:div>
    <w:div w:id="1129973903">
      <w:bodyDiv w:val="1"/>
      <w:marLeft w:val="0"/>
      <w:marRight w:val="0"/>
      <w:marTop w:val="0"/>
      <w:marBottom w:val="0"/>
      <w:divBdr>
        <w:top w:val="none" w:sz="0" w:space="0" w:color="auto"/>
        <w:left w:val="none" w:sz="0" w:space="0" w:color="auto"/>
        <w:bottom w:val="none" w:sz="0" w:space="0" w:color="auto"/>
        <w:right w:val="none" w:sz="0" w:space="0" w:color="auto"/>
      </w:divBdr>
    </w:div>
    <w:div w:id="1540973553">
      <w:bodyDiv w:val="1"/>
      <w:marLeft w:val="0"/>
      <w:marRight w:val="0"/>
      <w:marTop w:val="0"/>
      <w:marBottom w:val="0"/>
      <w:divBdr>
        <w:top w:val="none" w:sz="0" w:space="0" w:color="auto"/>
        <w:left w:val="none" w:sz="0" w:space="0" w:color="auto"/>
        <w:bottom w:val="none" w:sz="0" w:space="0" w:color="auto"/>
        <w:right w:val="none" w:sz="0" w:space="0" w:color="auto"/>
      </w:divBdr>
    </w:div>
    <w:div w:id="1936018301">
      <w:bodyDiv w:val="1"/>
      <w:marLeft w:val="0"/>
      <w:marRight w:val="0"/>
      <w:marTop w:val="0"/>
      <w:marBottom w:val="0"/>
      <w:divBdr>
        <w:top w:val="none" w:sz="0" w:space="0" w:color="auto"/>
        <w:left w:val="none" w:sz="0" w:space="0" w:color="auto"/>
        <w:bottom w:val="none" w:sz="0" w:space="0" w:color="auto"/>
        <w:right w:val="none" w:sz="0" w:space="0" w:color="auto"/>
      </w:divBdr>
    </w:div>
    <w:div w:id="1956910889">
      <w:bodyDiv w:val="1"/>
      <w:marLeft w:val="0"/>
      <w:marRight w:val="0"/>
      <w:marTop w:val="0"/>
      <w:marBottom w:val="0"/>
      <w:divBdr>
        <w:top w:val="none" w:sz="0" w:space="0" w:color="auto"/>
        <w:left w:val="none" w:sz="0" w:space="0" w:color="auto"/>
        <w:bottom w:val="none" w:sz="0" w:space="0" w:color="auto"/>
        <w:right w:val="none" w:sz="0" w:space="0" w:color="auto"/>
      </w:divBdr>
    </w:div>
    <w:div w:id="2016878697">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C2DF6-40D1-4423-8226-7E163B4C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9362BCB-F48B-41C0-B6E9-3A9E794E40A8}">
  <ds:schemaRefs>
    <ds:schemaRef ds:uri="http://schemas.microsoft.com/sharepoint/v3/contenttype/forms"/>
  </ds:schemaRefs>
</ds:datastoreItem>
</file>

<file path=customXml/itemProps3.xml><?xml version="1.0" encoding="utf-8"?>
<ds:datastoreItem xmlns:ds="http://schemas.openxmlformats.org/officeDocument/2006/customXml" ds:itemID="{CACED60E-2E1C-41AF-9CD5-9DAAEDC45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7A2F90A6</Template>
  <TotalTime>79</TotalTime>
  <Pages>24</Pages>
  <Words>9304</Words>
  <Characters>51175</Characters>
  <Application>Microsoft Office Word</Application>
  <DocSecurity>0</DocSecurity>
  <Lines>426</Lines>
  <Paragraphs>120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60359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creator>Han Huiskamp</dc:creator>
  <cp:lastModifiedBy>Hengelaar, Dieke</cp:lastModifiedBy>
  <cp:revision>13</cp:revision>
  <cp:lastPrinted>2017-05-31T07:33:00Z</cp:lastPrinted>
  <dcterms:created xsi:type="dcterms:W3CDTF">2017-08-18T13:17:00Z</dcterms:created>
  <dcterms:modified xsi:type="dcterms:W3CDTF">2017-09-21T09:03:00Z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ies>
</file>